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2" w:rsidRDefault="00EF44BD" w:rsidP="005718A2">
      <w:pPr>
        <w:pStyle w:val="a3"/>
        <w:spacing w:after="0"/>
        <w:ind w:left="0" w:firstLine="697"/>
        <w:jc w:val="center"/>
        <w:rPr>
          <w:sz w:val="24"/>
        </w:rPr>
      </w:pPr>
      <w:r w:rsidRPr="00EF44BD">
        <w:rPr>
          <w:sz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355485</wp:posOffset>
            </wp:positionH>
            <wp:positionV relativeFrom="paragraph">
              <wp:posOffset>-360326</wp:posOffset>
            </wp:positionV>
            <wp:extent cx="885825" cy="89191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1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4"/>
        </w:rPr>
        <w:t>НЕ ЗАБУДЬ УПЛАТИТЬ ДСВ!</w:t>
      </w:r>
    </w:p>
    <w:p w:rsidR="005718A2" w:rsidRDefault="005718A2" w:rsidP="005718A2">
      <w:pPr>
        <w:pStyle w:val="a3"/>
        <w:spacing w:after="0"/>
        <w:ind w:left="0" w:firstLine="697"/>
        <w:jc w:val="both"/>
        <w:rPr>
          <w:sz w:val="24"/>
        </w:rPr>
      </w:pPr>
    </w:p>
    <w:p w:rsidR="005718A2" w:rsidRDefault="005718A2" w:rsidP="005718A2">
      <w:pPr>
        <w:pStyle w:val="a3"/>
        <w:spacing w:after="0"/>
        <w:ind w:left="0" w:firstLine="697"/>
        <w:jc w:val="both"/>
        <w:rPr>
          <w:sz w:val="24"/>
        </w:rPr>
      </w:pPr>
    </w:p>
    <w:p w:rsidR="005718A2" w:rsidRDefault="005718A2" w:rsidP="005718A2">
      <w:pPr>
        <w:pStyle w:val="a3"/>
        <w:spacing w:after="0"/>
        <w:ind w:left="0" w:firstLine="697"/>
        <w:jc w:val="both"/>
        <w:rPr>
          <w:sz w:val="24"/>
        </w:rPr>
      </w:pPr>
      <w:r>
        <w:rPr>
          <w:sz w:val="24"/>
        </w:rPr>
        <w:t xml:space="preserve">Управление напоминает, что согласно пункту 3 статьи 12 Федерального закона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30.04.2008 № 56-ФЗ «О дополнительных страховых взносах на накопительную пенсию и государственной поддержке формирования пенсионных накоплений» право на получение государственной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</w:t>
      </w:r>
      <w:r w:rsidRPr="00AD13CD">
        <w:rPr>
          <w:sz w:val="24"/>
          <w:szCs w:val="24"/>
        </w:rPr>
        <w:t> </w:t>
      </w:r>
      <w:r>
        <w:rPr>
          <w:sz w:val="24"/>
        </w:rPr>
        <w:t>000 рублей.</w:t>
      </w:r>
    </w:p>
    <w:p w:rsidR="005718A2" w:rsidRDefault="005718A2" w:rsidP="005718A2">
      <w:pPr>
        <w:pStyle w:val="a3"/>
        <w:spacing w:after="0"/>
        <w:ind w:left="0" w:firstLine="697"/>
        <w:jc w:val="both"/>
        <w:rPr>
          <w:sz w:val="24"/>
        </w:rPr>
      </w:pPr>
      <w:r>
        <w:rPr>
          <w:sz w:val="24"/>
        </w:rPr>
        <w:t xml:space="preserve">При этом частью 1 статьи 13 Закона № 56-ФЗ установлено, что размер взноса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формирования пенсионных накоплений застрахованного лица определяется исходя из суммы дополнительных страховых взносов на накопительную пенсию, уплаченной данным застрахованным лицом за истекший календарный год (</w:t>
      </w:r>
      <w:r w:rsidRPr="00BA0FEC">
        <w:rPr>
          <w:sz w:val="24"/>
          <w:u w:val="single"/>
        </w:rPr>
        <w:t xml:space="preserve">в период </w:t>
      </w:r>
      <w:r w:rsidRPr="00B545DB">
        <w:rPr>
          <w:sz w:val="24"/>
          <w:u w:val="single"/>
        </w:rPr>
        <w:t>с 1 января по 31 декабря</w:t>
      </w:r>
      <w:r>
        <w:rPr>
          <w:sz w:val="24"/>
          <w:u w:val="single"/>
        </w:rPr>
        <w:t>)</w:t>
      </w:r>
      <w:r>
        <w:rPr>
          <w:sz w:val="24"/>
        </w:rPr>
        <w:t>.</w:t>
      </w:r>
    </w:p>
    <w:p w:rsidR="005718A2" w:rsidRDefault="005718A2" w:rsidP="005718A2">
      <w:pPr>
        <w:pStyle w:val="a3"/>
        <w:spacing w:after="0"/>
        <w:ind w:left="0" w:firstLine="697"/>
        <w:jc w:val="both"/>
        <w:rPr>
          <w:sz w:val="24"/>
        </w:rPr>
      </w:pPr>
      <w:r>
        <w:rPr>
          <w:sz w:val="24"/>
        </w:rPr>
        <w:t xml:space="preserve">В соответствии с пунктом 2 Правил предоставления межбюджетных трансфертов из федерального бюджета бюджету Пенсионного фонда Российской Федерации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формирования пенсионных накоплений застрахованных лиц, уплативших дополнительные страховые взносы на накопительную часть трудовой пенсии, утвержденных постановлением Правительства Российской Федерации от 13.10.2008 № 747, заявка формируется один раз в год на основании данных предыдущего финансового года.</w:t>
      </w:r>
    </w:p>
    <w:p w:rsidR="005718A2" w:rsidRDefault="005718A2" w:rsidP="005718A2">
      <w:pPr>
        <w:pStyle w:val="a3"/>
        <w:spacing w:after="0"/>
        <w:ind w:left="0" w:firstLine="697"/>
        <w:jc w:val="both"/>
        <w:rPr>
          <w:sz w:val="24"/>
        </w:rPr>
      </w:pPr>
      <w:r>
        <w:rPr>
          <w:sz w:val="24"/>
        </w:rPr>
        <w:t>Согласно статье 12 Бюджетного кодекса Российской Федерации финансовый год соответствует календарному году и длится с 1 января по 31 декабря.</w:t>
      </w:r>
    </w:p>
    <w:p w:rsidR="005718A2" w:rsidRDefault="005718A2" w:rsidP="005718A2">
      <w:pPr>
        <w:pStyle w:val="a3"/>
        <w:spacing w:after="0"/>
        <w:ind w:left="0" w:firstLine="697"/>
        <w:jc w:val="both"/>
        <w:rPr>
          <w:b/>
          <w:i/>
          <w:sz w:val="24"/>
        </w:rPr>
      </w:pPr>
      <w:r w:rsidRPr="005718A2">
        <w:rPr>
          <w:b/>
          <w:i/>
          <w:sz w:val="24"/>
        </w:rPr>
        <w:t xml:space="preserve">Таким образом, </w:t>
      </w:r>
      <w:proofErr w:type="spellStart"/>
      <w:r w:rsidRPr="005718A2">
        <w:rPr>
          <w:b/>
          <w:i/>
          <w:sz w:val="24"/>
        </w:rPr>
        <w:t>софинансированию</w:t>
      </w:r>
      <w:proofErr w:type="spellEnd"/>
      <w:r w:rsidRPr="005718A2">
        <w:rPr>
          <w:b/>
          <w:i/>
          <w:sz w:val="24"/>
        </w:rPr>
        <w:t xml:space="preserve"> в 2016 году будут подлежать дополнительные страховые взносы на накопительную пенсию, уплаченные застрахованными лицами самостоятельно или через работодателя в период с 01.01.2015 по 31.12.2015.</w:t>
      </w:r>
    </w:p>
    <w:p w:rsidR="00EF44BD" w:rsidRPr="004E16B1" w:rsidRDefault="00EF44BD" w:rsidP="00EF44BD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EF44BD" w:rsidRPr="004E16B1" w:rsidRDefault="00EF44BD" w:rsidP="00EF44BD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F44BD" w:rsidRPr="005718A2" w:rsidRDefault="00EF44BD" w:rsidP="005718A2">
      <w:pPr>
        <w:pStyle w:val="a3"/>
        <w:spacing w:after="0"/>
        <w:ind w:left="0" w:firstLine="697"/>
        <w:jc w:val="both"/>
        <w:rPr>
          <w:b/>
          <w:i/>
          <w:sz w:val="24"/>
        </w:rPr>
      </w:pPr>
    </w:p>
    <w:p w:rsidR="00231729" w:rsidRDefault="00231729" w:rsidP="005718A2">
      <w:pPr>
        <w:jc w:val="both"/>
      </w:pPr>
    </w:p>
    <w:sectPr w:rsidR="00231729" w:rsidSect="0023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A2" w:rsidRDefault="005718A2" w:rsidP="005718A2">
      <w:pPr>
        <w:spacing w:after="0" w:line="240" w:lineRule="auto"/>
      </w:pPr>
      <w:r>
        <w:separator/>
      </w:r>
    </w:p>
  </w:endnote>
  <w:endnote w:type="continuationSeparator" w:id="1">
    <w:p w:rsidR="005718A2" w:rsidRDefault="005718A2" w:rsidP="0057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A2" w:rsidRDefault="005718A2" w:rsidP="005718A2">
      <w:pPr>
        <w:spacing w:after="0" w:line="240" w:lineRule="auto"/>
      </w:pPr>
      <w:r>
        <w:separator/>
      </w:r>
    </w:p>
  </w:footnote>
  <w:footnote w:type="continuationSeparator" w:id="1">
    <w:p w:rsidR="005718A2" w:rsidRDefault="005718A2" w:rsidP="0057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A2"/>
    <w:rsid w:val="001674AB"/>
    <w:rsid w:val="00231729"/>
    <w:rsid w:val="005718A2"/>
    <w:rsid w:val="00857005"/>
    <w:rsid w:val="00D627B5"/>
    <w:rsid w:val="00E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1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57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71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718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>УПФР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Лилия В. Орлова</cp:lastModifiedBy>
  <cp:revision>3</cp:revision>
  <dcterms:created xsi:type="dcterms:W3CDTF">2015-10-16T11:18:00Z</dcterms:created>
  <dcterms:modified xsi:type="dcterms:W3CDTF">2015-10-20T14:47:00Z</dcterms:modified>
</cp:coreProperties>
</file>