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E9652A" w:rsidP="00A60DA7">
      <w:r>
        <w:t>от  30 июля</w:t>
      </w:r>
      <w:r w:rsidR="00A6559F">
        <w:t xml:space="preserve"> 20</w:t>
      </w:r>
      <w:r w:rsidR="00333AE2">
        <w:t>20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     </w:t>
      </w:r>
      <w:r w:rsidR="002B704C">
        <w:t>№</w:t>
      </w:r>
      <w:r>
        <w:t xml:space="preserve"> 47</w:t>
      </w:r>
      <w:r w:rsidR="002B704C">
        <w:t xml:space="preserve"> 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8"/>
      </w:tblGrid>
      <w:tr w:rsidR="0012131D" w:rsidRPr="00E378C9" w:rsidTr="00F35B20">
        <w:trPr>
          <w:trHeight w:val="52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E378C9" w:rsidRDefault="00F35B20" w:rsidP="00F35B20">
            <w:r w:rsidRPr="00E378C9">
              <w:t>О внесении изменений в Решение совета депутатов от 25.03.2020 года № 30 «</w:t>
            </w:r>
            <w:r w:rsidR="0007032E" w:rsidRPr="00E378C9">
              <w:t>Об утверждении прогнозного плана приватизации 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 на 20</w:t>
            </w:r>
            <w:r w:rsidR="00333AE2" w:rsidRPr="00E378C9">
              <w:t>20</w:t>
            </w:r>
            <w:r w:rsidR="0007032E" w:rsidRPr="00E378C9">
              <w:t xml:space="preserve"> год</w:t>
            </w:r>
            <w:r w:rsidRPr="00E378C9">
              <w:t>»</w:t>
            </w:r>
          </w:p>
        </w:tc>
      </w:tr>
    </w:tbl>
    <w:p w:rsidR="0007032E" w:rsidRPr="00E378C9" w:rsidRDefault="0007032E" w:rsidP="00D51B49">
      <w:pPr>
        <w:ind w:firstLine="708"/>
        <w:jc w:val="both"/>
      </w:pPr>
    </w:p>
    <w:p w:rsidR="0007032E" w:rsidRPr="00E378C9" w:rsidRDefault="0007032E" w:rsidP="0007032E">
      <w:pPr>
        <w:tabs>
          <w:tab w:val="left" w:pos="720"/>
        </w:tabs>
        <w:jc w:val="both"/>
        <w:rPr>
          <w:sz w:val="22"/>
          <w:szCs w:val="22"/>
        </w:rPr>
      </w:pPr>
      <w:r w:rsidRPr="00E378C9">
        <w:tab/>
      </w:r>
      <w:proofErr w:type="gramStart"/>
      <w:r w:rsidRPr="00E378C9">
        <w:rPr>
          <w:sz w:val="22"/>
          <w:szCs w:val="22"/>
        </w:rPr>
        <w:t>В соответствии со статьей 10 Федерального закона от 21 декабря 2001 года № 178-ФЗ «О приватизации государственного и муниципального имущества», на основании Федерального закона от 06.10.2003 года № 131-ФЗ «Об общих принципах организации местного самоуправления в Российской Федерации», 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</w:t>
      </w:r>
      <w:proofErr w:type="gramEnd"/>
      <w:r w:rsidRPr="00E378C9">
        <w:rPr>
          <w:sz w:val="22"/>
          <w:szCs w:val="22"/>
        </w:rPr>
        <w:t xml:space="preserve"> Ленинградской области», руководствуясь уставом муниципального образования Петровское сельское поселение муниципального образования Призерский муниципальный район Ленинградской области, Совет депутатов РЕШИЛ:</w:t>
      </w:r>
    </w:p>
    <w:p w:rsidR="008A4A31" w:rsidRPr="00E378C9" w:rsidRDefault="008A4A31" w:rsidP="008A4A31">
      <w:pPr>
        <w:ind w:firstLine="567"/>
        <w:jc w:val="both"/>
        <w:rPr>
          <w:sz w:val="22"/>
          <w:szCs w:val="22"/>
        </w:rPr>
      </w:pPr>
      <w:r w:rsidRPr="00E378C9">
        <w:rPr>
          <w:sz w:val="22"/>
          <w:szCs w:val="22"/>
        </w:rPr>
        <w:t xml:space="preserve">Внести в решение Совета депутатов </w:t>
      </w:r>
      <w:r w:rsidR="000220FB" w:rsidRPr="00E378C9">
        <w:rPr>
          <w:sz w:val="22"/>
          <w:szCs w:val="22"/>
        </w:rPr>
        <w:t>25.03.2020 года № 30</w:t>
      </w:r>
      <w:r w:rsidRPr="00E378C9">
        <w:rPr>
          <w:sz w:val="22"/>
          <w:szCs w:val="22"/>
        </w:rPr>
        <w:t xml:space="preserve"> «</w:t>
      </w:r>
      <w:r w:rsidR="000220FB" w:rsidRPr="00E378C9">
        <w:rPr>
          <w:sz w:val="22"/>
          <w:szCs w:val="22"/>
        </w:rPr>
        <w:t>Об утверждении прогнозного плана приватизации 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</w:t>
      </w:r>
      <w:r w:rsidR="009A10DC" w:rsidRPr="00E378C9">
        <w:rPr>
          <w:sz w:val="22"/>
          <w:szCs w:val="22"/>
        </w:rPr>
        <w:t>» следующие изменения:</w:t>
      </w:r>
    </w:p>
    <w:p w:rsidR="001E4207" w:rsidRPr="00E378C9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E378C9">
        <w:rPr>
          <w:rFonts w:ascii="Times New Roman" w:hAnsi="Times New Roman"/>
          <w:iCs/>
          <w:color w:val="000000"/>
        </w:rPr>
        <w:t xml:space="preserve"> </w:t>
      </w:r>
      <w:r w:rsidR="0007032E" w:rsidRPr="00E378C9">
        <w:rPr>
          <w:rFonts w:ascii="Times New Roman" w:hAnsi="Times New Roman"/>
          <w:iCs/>
          <w:color w:val="000000"/>
        </w:rPr>
        <w:t>Утвердить прогнозный план приватизации муниципального имущества муниципального образования Петровское сельское поселение на 20</w:t>
      </w:r>
      <w:r w:rsidR="00333AE2" w:rsidRPr="00E378C9">
        <w:rPr>
          <w:rFonts w:ascii="Times New Roman" w:hAnsi="Times New Roman"/>
          <w:iCs/>
          <w:color w:val="000000"/>
        </w:rPr>
        <w:t>20</w:t>
      </w:r>
      <w:r w:rsidR="0007032E" w:rsidRPr="00E378C9">
        <w:rPr>
          <w:rFonts w:ascii="Times New Roman" w:hAnsi="Times New Roman"/>
          <w:iCs/>
          <w:color w:val="000000"/>
        </w:rPr>
        <w:t xml:space="preserve"> год </w:t>
      </w:r>
      <w:r w:rsidR="009A10DC" w:rsidRPr="00E378C9">
        <w:rPr>
          <w:rFonts w:ascii="Times New Roman" w:hAnsi="Times New Roman"/>
          <w:iCs/>
          <w:color w:val="000000"/>
        </w:rPr>
        <w:t xml:space="preserve">с внесенными изменениями </w:t>
      </w:r>
      <w:r w:rsidRPr="00E378C9">
        <w:rPr>
          <w:rFonts w:ascii="Times New Roman" w:hAnsi="Times New Roman"/>
          <w:iCs/>
          <w:color w:val="000000"/>
        </w:rPr>
        <w:t>(Приложение 1);</w:t>
      </w:r>
    </w:p>
    <w:p w:rsidR="00F92F1C" w:rsidRPr="00E378C9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E378C9">
        <w:rPr>
          <w:rFonts w:ascii="Times New Roman" w:hAnsi="Times New Roman"/>
          <w:iCs/>
          <w:color w:val="000000"/>
        </w:rPr>
        <w:t xml:space="preserve"> </w:t>
      </w:r>
      <w:r w:rsidR="004F6651" w:rsidRPr="00E378C9">
        <w:rPr>
          <w:rFonts w:ascii="Times New Roman" w:hAnsi="Times New Roman"/>
          <w:iCs/>
          <w:color w:val="000000"/>
        </w:rPr>
        <w:t xml:space="preserve">Опубликовать настоящее решение на официальном сайте </w:t>
      </w:r>
      <w:r w:rsidR="00F92F1C" w:rsidRPr="00E378C9">
        <w:rPr>
          <w:rFonts w:ascii="Times New Roman" w:hAnsi="Times New Roman"/>
          <w:iCs/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E378C9">
        <w:rPr>
          <w:rFonts w:ascii="Times New Roman" w:hAnsi="Times New Roman"/>
          <w:iCs/>
          <w:color w:val="000000"/>
        </w:rPr>
        <w:t xml:space="preserve"> </w:t>
      </w:r>
      <w:r w:rsidR="00F751B5" w:rsidRPr="00E378C9">
        <w:rPr>
          <w:rFonts w:ascii="Times New Roman" w:hAnsi="Times New Roman"/>
          <w:iCs/>
          <w:color w:val="000000"/>
        </w:rPr>
        <w:t xml:space="preserve">в сети «Интернет» по адресу: </w:t>
      </w:r>
      <w:hyperlink r:id="rId6" w:history="1">
        <w:r w:rsidR="004F6651" w:rsidRPr="00E378C9">
          <w:rPr>
            <w:rStyle w:val="a3"/>
            <w:rFonts w:ascii="Times New Roman" w:hAnsi="Times New Roman"/>
            <w:iCs/>
            <w:lang w:val="en-US"/>
          </w:rPr>
          <w:t>www</w:t>
        </w:r>
        <w:r w:rsidR="004F6651" w:rsidRPr="00E378C9">
          <w:rPr>
            <w:rStyle w:val="a3"/>
            <w:rFonts w:ascii="Times New Roman" w:hAnsi="Times New Roman"/>
            <w:iCs/>
          </w:rPr>
          <w:t>.петровскоесп.рф</w:t>
        </w:r>
      </w:hyperlink>
      <w:r w:rsidR="0007032E" w:rsidRPr="00E378C9">
        <w:rPr>
          <w:rFonts w:ascii="Times New Roman" w:hAnsi="Times New Roman"/>
          <w:iCs/>
          <w:color w:val="000000"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Федерации;</w:t>
      </w:r>
    </w:p>
    <w:p w:rsidR="00AB49BC" w:rsidRPr="00E378C9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E378C9">
        <w:rPr>
          <w:rFonts w:ascii="Times New Roman" w:eastAsia="Times New Roman" w:hAnsi="Times New Roman"/>
          <w:lang w:eastAsia="ru-RU"/>
        </w:rPr>
        <w:t xml:space="preserve"> </w:t>
      </w:r>
      <w:r w:rsidR="00CB2C63" w:rsidRPr="00E378C9">
        <w:rPr>
          <w:rFonts w:ascii="Times New Roman" w:eastAsia="Times New Roman" w:hAnsi="Times New Roman"/>
          <w:lang w:eastAsia="ru-RU"/>
        </w:rPr>
        <w:t>Решение Совета депутатов вступает в силу со дня его официального опубликования</w:t>
      </w:r>
      <w:r w:rsidR="00F751B5" w:rsidRPr="00E378C9">
        <w:rPr>
          <w:rFonts w:ascii="Times New Roman" w:eastAsia="Times New Roman" w:hAnsi="Times New Roman"/>
          <w:lang w:eastAsia="ru-RU"/>
        </w:rPr>
        <w:t>;</w:t>
      </w:r>
    </w:p>
    <w:p w:rsidR="00F92F1C" w:rsidRPr="00E378C9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</w:rPr>
      </w:pPr>
      <w:r w:rsidRPr="00E378C9">
        <w:rPr>
          <w:rFonts w:ascii="Times New Roman" w:hAnsi="Times New Roman"/>
          <w:iCs/>
          <w:color w:val="000000"/>
        </w:rPr>
        <w:t xml:space="preserve"> </w:t>
      </w:r>
      <w:proofErr w:type="gramStart"/>
      <w:r w:rsidR="00F92F1C" w:rsidRPr="00E378C9">
        <w:rPr>
          <w:rFonts w:ascii="Times New Roman" w:hAnsi="Times New Roman"/>
          <w:iCs/>
          <w:color w:val="000000"/>
        </w:rPr>
        <w:t>Контроль за</w:t>
      </w:r>
      <w:proofErr w:type="gramEnd"/>
      <w:r w:rsidR="00F92F1C" w:rsidRPr="00E378C9">
        <w:rPr>
          <w:rFonts w:ascii="Times New Roman" w:hAnsi="Times New Roman"/>
          <w:iCs/>
          <w:color w:val="000000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 w:rsidRPr="00E378C9">
        <w:rPr>
          <w:rFonts w:ascii="Times New Roman" w:hAnsi="Times New Roman"/>
          <w:iCs/>
          <w:color w:val="000000"/>
        </w:rPr>
        <w:t xml:space="preserve"> (председатель </w:t>
      </w:r>
      <w:proofErr w:type="spellStart"/>
      <w:r w:rsidR="00333AE2" w:rsidRPr="00E378C9">
        <w:rPr>
          <w:rFonts w:ascii="Times New Roman" w:hAnsi="Times New Roman"/>
          <w:iCs/>
          <w:color w:val="000000"/>
        </w:rPr>
        <w:t>Комаристова</w:t>
      </w:r>
      <w:proofErr w:type="spellEnd"/>
      <w:r w:rsidR="00333AE2" w:rsidRPr="00E378C9">
        <w:rPr>
          <w:rFonts w:ascii="Times New Roman" w:hAnsi="Times New Roman"/>
          <w:iCs/>
          <w:color w:val="000000"/>
        </w:rPr>
        <w:t xml:space="preserve"> Г.А.</w:t>
      </w:r>
      <w:r w:rsidR="00D74D4B" w:rsidRPr="00E378C9">
        <w:rPr>
          <w:rFonts w:ascii="Times New Roman" w:hAnsi="Times New Roman"/>
          <w:iCs/>
          <w:color w:val="000000"/>
        </w:rPr>
        <w:t>)</w:t>
      </w:r>
      <w:r w:rsidR="00CB2C63" w:rsidRPr="00E378C9">
        <w:rPr>
          <w:rFonts w:ascii="Times New Roman" w:hAnsi="Times New Roman"/>
          <w:iCs/>
          <w:color w:val="000000"/>
        </w:rPr>
        <w:t>.</w:t>
      </w:r>
    </w:p>
    <w:p w:rsidR="00A60DA7" w:rsidRPr="00E378C9" w:rsidRDefault="00A60DA7" w:rsidP="00A60DA7">
      <w:pPr>
        <w:jc w:val="both"/>
        <w:outlineLvl w:val="0"/>
        <w:rPr>
          <w:sz w:val="22"/>
          <w:szCs w:val="22"/>
        </w:rPr>
      </w:pPr>
    </w:p>
    <w:p w:rsidR="00A60DA7" w:rsidRPr="00E378C9" w:rsidRDefault="00A60DA7" w:rsidP="00A60DA7">
      <w:pPr>
        <w:jc w:val="both"/>
        <w:outlineLvl w:val="0"/>
        <w:rPr>
          <w:sz w:val="22"/>
          <w:szCs w:val="22"/>
        </w:rPr>
      </w:pPr>
      <w:r w:rsidRPr="00E378C9">
        <w:rPr>
          <w:sz w:val="22"/>
          <w:szCs w:val="22"/>
        </w:rPr>
        <w:t>Глава муниципального образования</w:t>
      </w:r>
    </w:p>
    <w:p w:rsidR="00A60DA7" w:rsidRPr="00E378C9" w:rsidRDefault="00A60DA7" w:rsidP="00A60DA7">
      <w:pPr>
        <w:jc w:val="both"/>
        <w:outlineLvl w:val="0"/>
        <w:rPr>
          <w:sz w:val="22"/>
          <w:szCs w:val="22"/>
        </w:rPr>
      </w:pPr>
      <w:r w:rsidRPr="00E378C9">
        <w:rPr>
          <w:sz w:val="22"/>
          <w:szCs w:val="22"/>
        </w:rPr>
        <w:t>Петровское сельское поселение                                                                             И.Г. Пьянкова</w:t>
      </w:r>
    </w:p>
    <w:p w:rsidR="0007032E" w:rsidRPr="00E378C9" w:rsidRDefault="0007032E" w:rsidP="00A60DA7"/>
    <w:p w:rsidR="00E378C9" w:rsidRDefault="00E378C9" w:rsidP="00A60DA7">
      <w:pPr>
        <w:rPr>
          <w:sz w:val="20"/>
          <w:szCs w:val="20"/>
        </w:rPr>
      </w:pPr>
    </w:p>
    <w:p w:rsidR="00E378C9" w:rsidRDefault="00E378C9" w:rsidP="00A60DA7">
      <w:pPr>
        <w:rPr>
          <w:sz w:val="20"/>
          <w:szCs w:val="20"/>
        </w:rPr>
      </w:pPr>
    </w:p>
    <w:p w:rsidR="00E378C9" w:rsidRDefault="00E378C9" w:rsidP="00A60DA7">
      <w:pPr>
        <w:rPr>
          <w:sz w:val="20"/>
          <w:szCs w:val="20"/>
        </w:rPr>
      </w:pPr>
    </w:p>
    <w:p w:rsidR="00915CA4" w:rsidRDefault="00915CA4" w:rsidP="00A60DA7">
      <w:pPr>
        <w:rPr>
          <w:sz w:val="20"/>
          <w:szCs w:val="20"/>
        </w:rPr>
      </w:pPr>
    </w:p>
    <w:p w:rsidR="00915CA4" w:rsidRDefault="00915CA4" w:rsidP="00A60DA7">
      <w:pPr>
        <w:rPr>
          <w:sz w:val="20"/>
          <w:szCs w:val="20"/>
        </w:rPr>
      </w:pPr>
    </w:p>
    <w:p w:rsidR="00915CA4" w:rsidRDefault="00915CA4" w:rsidP="00A60DA7">
      <w:pPr>
        <w:rPr>
          <w:sz w:val="20"/>
          <w:szCs w:val="20"/>
        </w:rPr>
      </w:pPr>
    </w:p>
    <w:p w:rsidR="00915CA4" w:rsidRDefault="00915CA4" w:rsidP="00A60DA7">
      <w:pPr>
        <w:rPr>
          <w:sz w:val="20"/>
          <w:szCs w:val="20"/>
        </w:rPr>
      </w:pPr>
    </w:p>
    <w:p w:rsidR="00E378C9" w:rsidRDefault="00E378C9" w:rsidP="00A60DA7">
      <w:pPr>
        <w:rPr>
          <w:sz w:val="20"/>
          <w:szCs w:val="20"/>
        </w:rPr>
      </w:pPr>
    </w:p>
    <w:p w:rsidR="00E378C9" w:rsidRDefault="00E378C9" w:rsidP="00A60DA7">
      <w:pPr>
        <w:rPr>
          <w:sz w:val="20"/>
          <w:szCs w:val="20"/>
        </w:rPr>
      </w:pPr>
    </w:p>
    <w:p w:rsidR="00BD028A" w:rsidRDefault="00BD028A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915CA4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 № 47 от 30 июля 2020 года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4304C" w:rsidRDefault="00D4304C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 w:rsidR="00333AE2">
        <w:rPr>
          <w:b/>
          <w:bCs/>
          <w:lang w:eastAsia="zh-CN"/>
        </w:rPr>
        <w:t>20</w:t>
      </w:r>
      <w:r w:rsidRPr="00571321">
        <w:rPr>
          <w:b/>
          <w:bCs/>
          <w:lang w:eastAsia="zh-CN"/>
        </w:rPr>
        <w:t xml:space="preserve">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097"/>
        <w:gridCol w:w="1944"/>
        <w:gridCol w:w="1074"/>
        <w:gridCol w:w="1515"/>
        <w:gridCol w:w="1820"/>
        <w:gridCol w:w="1337"/>
      </w:tblGrid>
      <w:tr w:rsidR="00571321" w:rsidRPr="00571321" w:rsidTr="00571321">
        <w:tc>
          <w:tcPr>
            <w:tcW w:w="916" w:type="dxa"/>
            <w:shd w:val="clear" w:color="auto" w:fill="auto"/>
          </w:tcPr>
          <w:p w:rsid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571321" w:rsidRPr="00571321" w:rsidRDefault="00571321" w:rsidP="0078631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713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1321">
              <w:rPr>
                <w:sz w:val="22"/>
                <w:szCs w:val="22"/>
              </w:rPr>
              <w:t>/</w:t>
            </w:r>
            <w:proofErr w:type="spellStart"/>
            <w:r w:rsidRPr="005713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</w:t>
            </w:r>
            <w:proofErr w:type="gramStart"/>
            <w:r w:rsidRPr="0057132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</w:t>
            </w:r>
            <w:proofErr w:type="gramStart"/>
            <w:r w:rsidRPr="00571321">
              <w:rPr>
                <w:sz w:val="22"/>
                <w:szCs w:val="22"/>
              </w:rPr>
              <w:t>.р</w:t>
            </w:r>
            <w:proofErr w:type="gramEnd"/>
            <w:r w:rsidRPr="00571321">
              <w:rPr>
                <w:sz w:val="22"/>
                <w:szCs w:val="22"/>
              </w:rPr>
              <w:t>уб.</w:t>
            </w:r>
          </w:p>
        </w:tc>
      </w:tr>
      <w:tr w:rsidR="00571321" w:rsidTr="00571321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1321" w:rsidRDefault="00BD028A" w:rsidP="00571321">
            <w:pPr>
              <w:jc w:val="center"/>
            </w:pPr>
            <w: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1321" w:rsidRDefault="00BD028A" w:rsidP="00571321">
            <w:pPr>
              <w:jc w:val="center"/>
            </w:pPr>
            <w:r>
              <w:t>Земельный участок</w:t>
            </w:r>
            <w:r w:rsidR="00572C60">
              <w:t xml:space="preserve">, </w:t>
            </w:r>
            <w:r w:rsidR="00572C60">
              <w:rPr>
                <w:color w:val="000000"/>
              </w:rPr>
              <w:t>кадастровый номер 47:03:0702002:422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1321" w:rsidRDefault="00572C60" w:rsidP="00571321">
            <w:pPr>
              <w:jc w:val="center"/>
            </w:pPr>
            <w:r>
              <w:rPr>
                <w:color w:val="000000"/>
              </w:rPr>
              <w:t>Ленинградская область, Приозерский муниципальный район, Петровское сельское поселение, дер. Овраги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321" w:rsidRDefault="00572C60" w:rsidP="00571321">
            <w:pPr>
              <w:jc w:val="center"/>
            </w:pPr>
            <w:r>
              <w:rPr>
                <w:color w:val="000000"/>
              </w:rPr>
              <w:t>2500 +/- 24кв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15" w:type="dxa"/>
            <w:shd w:val="clear" w:color="auto" w:fill="auto"/>
            <w:vAlign w:val="center"/>
          </w:tcPr>
          <w:p w:rsidR="00571321" w:rsidRDefault="00572C60" w:rsidP="00571321">
            <w:pPr>
              <w:jc w:val="center"/>
            </w:pPr>
            <w:r>
              <w:t>продажа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1321" w:rsidRDefault="000C5C63" w:rsidP="00571321">
            <w:pPr>
              <w:jc w:val="center"/>
            </w:pPr>
            <w:r>
              <w:t>31.12.2020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321" w:rsidRDefault="000C5C63" w:rsidP="00571321">
            <w:pPr>
              <w:jc w:val="center"/>
            </w:pPr>
            <w:r>
              <w:t>5000,00</w:t>
            </w:r>
          </w:p>
        </w:tc>
      </w:tr>
      <w:tr w:rsidR="00572C60" w:rsidTr="00325130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2C60" w:rsidRDefault="00572C60" w:rsidP="00325130">
            <w:pPr>
              <w:jc w:val="center"/>
            </w:pPr>
            <w: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2C60" w:rsidRDefault="00572C60" w:rsidP="00325130">
            <w:pPr>
              <w:jc w:val="center"/>
            </w:pPr>
            <w:r>
              <w:t xml:space="preserve">Земельный участок, </w:t>
            </w:r>
            <w:r>
              <w:rPr>
                <w:color w:val="000000"/>
              </w:rPr>
              <w:t>кадастровый номер 47:03:0702002:423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2C60" w:rsidRDefault="00572C60" w:rsidP="00325130">
            <w:pPr>
              <w:jc w:val="center"/>
            </w:pPr>
            <w:r>
              <w:rPr>
                <w:color w:val="000000"/>
              </w:rPr>
              <w:t>Ленинградская область, Приозерский муниципальный район, Петровское сельское поселение, дер. Овраги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2C60" w:rsidRDefault="00572C60" w:rsidP="00325130">
            <w:pPr>
              <w:jc w:val="center"/>
            </w:pPr>
            <w:r>
              <w:rPr>
                <w:color w:val="000000"/>
              </w:rPr>
              <w:t>2500 +/- 24кв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15" w:type="dxa"/>
            <w:shd w:val="clear" w:color="auto" w:fill="auto"/>
            <w:vAlign w:val="center"/>
          </w:tcPr>
          <w:p w:rsidR="00572C60" w:rsidRDefault="00572C60" w:rsidP="00325130">
            <w:pPr>
              <w:jc w:val="center"/>
            </w:pPr>
            <w:r>
              <w:t>продажа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2C60" w:rsidRDefault="000C5C63" w:rsidP="00325130">
            <w:pPr>
              <w:jc w:val="center"/>
            </w:pPr>
            <w:r>
              <w:t>31.12.2020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2C60" w:rsidRDefault="000C5C63" w:rsidP="00325130">
            <w:pPr>
              <w:jc w:val="center"/>
            </w:pPr>
            <w:r>
              <w:t>5000,00</w:t>
            </w:r>
          </w:p>
        </w:tc>
      </w:tr>
    </w:tbl>
    <w:p w:rsidR="00571321" w:rsidRPr="001B5A30" w:rsidRDefault="00571321" w:rsidP="00D4304C">
      <w:pPr>
        <w:tabs>
          <w:tab w:val="left" w:pos="8102"/>
        </w:tabs>
        <w:rPr>
          <w:sz w:val="23"/>
          <w:szCs w:val="23"/>
        </w:rPr>
      </w:pPr>
    </w:p>
    <w:sectPr w:rsidR="00571321" w:rsidRPr="001B5A3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220FB"/>
    <w:rsid w:val="0003507B"/>
    <w:rsid w:val="0005168D"/>
    <w:rsid w:val="00067A9E"/>
    <w:rsid w:val="0007032E"/>
    <w:rsid w:val="000762A9"/>
    <w:rsid w:val="0009693E"/>
    <w:rsid w:val="000C5C63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A4CD0"/>
    <w:rsid w:val="002B3CE8"/>
    <w:rsid w:val="002B704C"/>
    <w:rsid w:val="002C659C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F65"/>
    <w:rsid w:val="004B0D1B"/>
    <w:rsid w:val="004D057B"/>
    <w:rsid w:val="004E30D3"/>
    <w:rsid w:val="004F6651"/>
    <w:rsid w:val="00513B99"/>
    <w:rsid w:val="00530B2F"/>
    <w:rsid w:val="005469FD"/>
    <w:rsid w:val="00571321"/>
    <w:rsid w:val="00572C60"/>
    <w:rsid w:val="0058370A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4CED"/>
    <w:rsid w:val="007A7DBF"/>
    <w:rsid w:val="007B328C"/>
    <w:rsid w:val="007C4225"/>
    <w:rsid w:val="007E35D2"/>
    <w:rsid w:val="0080125C"/>
    <w:rsid w:val="00822AB0"/>
    <w:rsid w:val="00860E07"/>
    <w:rsid w:val="008749E3"/>
    <w:rsid w:val="00876836"/>
    <w:rsid w:val="00883925"/>
    <w:rsid w:val="008A4A31"/>
    <w:rsid w:val="008A65DF"/>
    <w:rsid w:val="008D335E"/>
    <w:rsid w:val="008D77A3"/>
    <w:rsid w:val="009112BE"/>
    <w:rsid w:val="00914B21"/>
    <w:rsid w:val="00915CA4"/>
    <w:rsid w:val="009177AF"/>
    <w:rsid w:val="00956CBB"/>
    <w:rsid w:val="00970DA7"/>
    <w:rsid w:val="009A10DC"/>
    <w:rsid w:val="009A1445"/>
    <w:rsid w:val="009A217A"/>
    <w:rsid w:val="009A632D"/>
    <w:rsid w:val="009B4D41"/>
    <w:rsid w:val="00A02439"/>
    <w:rsid w:val="00A07A45"/>
    <w:rsid w:val="00A21DE1"/>
    <w:rsid w:val="00A2375F"/>
    <w:rsid w:val="00A55487"/>
    <w:rsid w:val="00A60DA7"/>
    <w:rsid w:val="00A61CAB"/>
    <w:rsid w:val="00A6559F"/>
    <w:rsid w:val="00AB49BC"/>
    <w:rsid w:val="00AD6518"/>
    <w:rsid w:val="00AF0CD7"/>
    <w:rsid w:val="00B05AF8"/>
    <w:rsid w:val="00B10B84"/>
    <w:rsid w:val="00B156E2"/>
    <w:rsid w:val="00B15DFE"/>
    <w:rsid w:val="00B340EA"/>
    <w:rsid w:val="00B42B77"/>
    <w:rsid w:val="00B62E3A"/>
    <w:rsid w:val="00B642F0"/>
    <w:rsid w:val="00B75CF8"/>
    <w:rsid w:val="00B8071A"/>
    <w:rsid w:val="00BC2904"/>
    <w:rsid w:val="00BD028A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3F8E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C34B0"/>
    <w:rsid w:val="00DD0B45"/>
    <w:rsid w:val="00DE238E"/>
    <w:rsid w:val="00E178F6"/>
    <w:rsid w:val="00E378C9"/>
    <w:rsid w:val="00E625D4"/>
    <w:rsid w:val="00E86B52"/>
    <w:rsid w:val="00E95D17"/>
    <w:rsid w:val="00E9652A"/>
    <w:rsid w:val="00EA212F"/>
    <w:rsid w:val="00EC242F"/>
    <w:rsid w:val="00EE152C"/>
    <w:rsid w:val="00EF5BDA"/>
    <w:rsid w:val="00EF63AC"/>
    <w:rsid w:val="00F21FD8"/>
    <w:rsid w:val="00F23D6E"/>
    <w:rsid w:val="00F26074"/>
    <w:rsid w:val="00F35B20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styleId="2">
    <w:name w:val="Body Text Indent 2"/>
    <w:basedOn w:val="a"/>
    <w:link w:val="20"/>
    <w:rsid w:val="008A4A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4A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570D-A255-46B1-9CEE-21795A4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2020-03-16T08:25:00Z</cp:lastPrinted>
  <dcterms:created xsi:type="dcterms:W3CDTF">2020-08-12T11:25:00Z</dcterms:created>
  <dcterms:modified xsi:type="dcterms:W3CDTF">2020-08-12T12:25:00Z</dcterms:modified>
</cp:coreProperties>
</file>