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E5157B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Pr="00CC04A2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D32DA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</w:t>
      </w:r>
      <w:r w:rsidR="0029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D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166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Tr="00D52461">
        <w:tc>
          <w:tcPr>
            <w:tcW w:w="5220" w:type="dxa"/>
          </w:tcPr>
          <w:p w:rsidR="00E5157B" w:rsidRPr="00E5157B" w:rsidRDefault="00E5157B" w:rsidP="00E5157B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7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методики прогнозирования поступлений доходов в бюджет муниципального образования Петровское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CC04A2" w:rsidRPr="0029597C" w:rsidRDefault="00CC04A2" w:rsidP="00DD649B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E5157B" w:rsidRPr="00E5157B" w:rsidRDefault="00E5157B" w:rsidP="00E5157B">
      <w:pPr>
        <w:pStyle w:val="210"/>
        <w:spacing w:after="0" w:line="240" w:lineRule="auto"/>
        <w:ind w:firstLine="720"/>
        <w:jc w:val="both"/>
      </w:pPr>
      <w:r w:rsidRPr="00E5157B">
        <w:t>В соответствии с пунктом 1 статьи 160.1 Бюджетного кодекса Российской Федерации, Постановлением Правительства РФ от 23 июня 2016 № 574 «Об общих требованиях к методике прогнозирования поступлений доходов в бюджеты бюджетн</w:t>
      </w:r>
      <w:r>
        <w:t>ой системы Российской Федерации»</w:t>
      </w:r>
      <w:r w:rsidRPr="00E5157B">
        <w:t>, администрация муниципального образования П</w:t>
      </w:r>
      <w:r>
        <w:t>етровское</w:t>
      </w:r>
      <w:r w:rsidRPr="00E5157B">
        <w:t xml:space="preserve"> сельское поселение </w:t>
      </w:r>
      <w:r>
        <w:t xml:space="preserve">муниципального образования Приозерский муниципальный район Ленинградской области </w:t>
      </w:r>
      <w:r w:rsidRPr="00E5157B">
        <w:t>ПОСТАНОВЛЯЕТ:</w:t>
      </w:r>
    </w:p>
    <w:p w:rsidR="00E5157B" w:rsidRDefault="00E5157B" w:rsidP="00E5157B">
      <w:pPr>
        <w:pStyle w:val="210"/>
        <w:tabs>
          <w:tab w:val="left" w:pos="1440"/>
        </w:tabs>
        <w:spacing w:after="0" w:line="240" w:lineRule="auto"/>
        <w:ind w:firstLine="709"/>
        <w:jc w:val="both"/>
      </w:pPr>
      <w:r>
        <w:t xml:space="preserve">1. </w:t>
      </w:r>
      <w:r w:rsidRPr="00E5157B">
        <w:t xml:space="preserve">Утвердить </w:t>
      </w:r>
      <w:r w:rsidRPr="00E5157B">
        <w:rPr>
          <w:color w:val="000000" w:themeColor="text1"/>
        </w:rPr>
        <w:t>Порядок</w:t>
      </w:r>
      <w:r w:rsidRPr="00E5157B">
        <w:t xml:space="preserve"> прогнозирования поступлений доходов в бюджет муниципального образования </w:t>
      </w:r>
      <w:r>
        <w:t>Петровское</w:t>
      </w:r>
      <w:r w:rsidRPr="00E5157B">
        <w:t xml:space="preserve"> сельское поселение</w:t>
      </w:r>
      <w:r w:rsidRPr="00E5157B">
        <w:rPr>
          <w:b/>
        </w:rPr>
        <w:t xml:space="preserve"> </w:t>
      </w:r>
      <w:r w:rsidRPr="00E5157B">
        <w:t>муниципального образования Приозерский муниципальный район Ленинградской области</w:t>
      </w:r>
      <w:r>
        <w:rPr>
          <w:b/>
        </w:rPr>
        <w:t xml:space="preserve"> </w:t>
      </w:r>
      <w:r w:rsidRPr="00E5157B">
        <w:t>согласн</w:t>
      </w:r>
      <w:r>
        <w:t>о приложения</w:t>
      </w:r>
      <w:r w:rsidRPr="00E5157B">
        <w:t xml:space="preserve"> к настоящему постановлению.</w:t>
      </w:r>
    </w:p>
    <w:p w:rsidR="00795A2E" w:rsidRDefault="00795A2E" w:rsidP="00E5157B">
      <w:pPr>
        <w:pStyle w:val="210"/>
        <w:tabs>
          <w:tab w:val="left" w:pos="1440"/>
        </w:tabs>
        <w:spacing w:after="0" w:line="240" w:lineRule="auto"/>
        <w:ind w:firstLine="709"/>
        <w:jc w:val="both"/>
      </w:pPr>
      <w:r>
        <w:t xml:space="preserve">2. Считать утратившим силу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</w:t>
      </w:r>
      <w:r w:rsidR="00E1180A">
        <w:t>06.12.2016 № 195 «</w:t>
      </w:r>
      <w:r w:rsidR="00E1180A" w:rsidRPr="00B04D4F">
        <w:t xml:space="preserve">Об утверждении Методики прогнозирования поступлений доходов в бюджет муниципального образования Петровское сельское поселение </w:t>
      </w:r>
      <w:r w:rsidR="00E1180A">
        <w:t>м</w:t>
      </w:r>
      <w:r w:rsidR="00E1180A" w:rsidRPr="00B04D4F">
        <w:t>униципального образования Приозерский муниципальный район Ленинградской области, главным администратором которых является администрация муниципального образования Петровское сельское поселение</w:t>
      </w:r>
      <w:r w:rsidR="00E1180A">
        <w:t>».</w:t>
      </w:r>
    </w:p>
    <w:p w:rsidR="00E1180A" w:rsidRPr="00E5157B" w:rsidRDefault="00E1180A" w:rsidP="00E5157B">
      <w:pPr>
        <w:pStyle w:val="210"/>
        <w:tabs>
          <w:tab w:val="left" w:pos="1440"/>
        </w:tabs>
        <w:spacing w:after="0" w:line="240" w:lineRule="auto"/>
        <w:ind w:firstLine="709"/>
        <w:jc w:val="both"/>
        <w:rPr>
          <w:color w:val="FF0000"/>
          <w:shd w:val="clear" w:color="auto" w:fill="FFFF00"/>
        </w:rPr>
      </w:pPr>
      <w:r>
        <w:t xml:space="preserve">3. </w:t>
      </w:r>
      <w:r w:rsidRPr="00DD649B">
        <w:t xml:space="preserve">Настоящее постановление вступает в силу со дня подписания и </w:t>
      </w:r>
      <w:r>
        <w:t>применяются к правоотношения</w:t>
      </w:r>
      <w:r w:rsidRPr="00E5157B">
        <w:rPr>
          <w:shd w:val="clear" w:color="auto" w:fill="FFFFFF"/>
        </w:rPr>
        <w:t xml:space="preserve"> возникающим при составлении и исполнении бюджета муниципального образования, </w:t>
      </w:r>
      <w:r w:rsidRPr="00E1180A">
        <w:rPr>
          <w:color w:val="000000" w:themeColor="text1"/>
          <w:shd w:val="clear" w:color="auto" w:fill="FFFFFF"/>
        </w:rPr>
        <w:t>начиная с бюджета на 2022 год и на плановый период 2023 и 2024 годов.</w:t>
      </w:r>
    </w:p>
    <w:p w:rsidR="0029597C" w:rsidRPr="00E1180A" w:rsidRDefault="00E1180A" w:rsidP="00E1180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5157B" w:rsidRPr="00E51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возложить на начальника сектора экономики и финансов – главного бухгалтера (Кардава Е.В.).</w:t>
      </w:r>
    </w:p>
    <w:p w:rsidR="0029597C" w:rsidRDefault="0029597C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9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</w:t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Pr="00CC04A2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F60C03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Е.В. Кардава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:rsidR="00980724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</w:t>
      </w:r>
      <w:r w:rsidR="00482266">
        <w:rPr>
          <w:rFonts w:ascii="Times New Roman" w:eastAsia="Times New Roman" w:hAnsi="Times New Roman" w:cs="Times New Roman"/>
          <w:sz w:val="16"/>
          <w:szCs w:val="14"/>
          <w:lang w:eastAsia="ru-RU"/>
        </w:rPr>
        <w:t>КФ</w:t>
      </w:r>
      <w:r w:rsidR="00246FEA">
        <w:rPr>
          <w:rFonts w:ascii="Times New Roman" w:eastAsia="Times New Roman" w:hAnsi="Times New Roman" w:cs="Times New Roman"/>
          <w:sz w:val="16"/>
          <w:szCs w:val="14"/>
          <w:lang w:eastAsia="ru-RU"/>
        </w:rPr>
        <w:t>, 1-прокуратура</w:t>
      </w:r>
    </w:p>
    <w:p w:rsidR="00E1180A" w:rsidRDefault="00E1180A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724" w:rsidRPr="00F913E0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80724" w:rsidRPr="00F913E0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80724" w:rsidRPr="00F913E0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0724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F913E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24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0724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980724" w:rsidRPr="00F913E0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 </w:t>
      </w:r>
    </w:p>
    <w:p w:rsidR="00980724" w:rsidRPr="00F913E0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13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2DA">
        <w:rPr>
          <w:rFonts w:ascii="Times New Roman" w:hAnsi="Times New Roman" w:cs="Times New Roman"/>
          <w:sz w:val="24"/>
          <w:szCs w:val="24"/>
        </w:rPr>
        <w:t>17 августа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F913E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D32DA">
        <w:rPr>
          <w:rFonts w:ascii="Times New Roman" w:hAnsi="Times New Roman" w:cs="Times New Roman"/>
          <w:sz w:val="24"/>
          <w:szCs w:val="24"/>
        </w:rPr>
        <w:t xml:space="preserve"> 166</w:t>
      </w:r>
      <w:bookmarkStart w:id="0" w:name="_GoBack"/>
      <w:bookmarkEnd w:id="0"/>
    </w:p>
    <w:p w:rsidR="00980724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13E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80724" w:rsidRDefault="00980724" w:rsidP="0098072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180A" w:rsidRPr="00E1180A" w:rsidRDefault="00E1180A" w:rsidP="00E1180A">
      <w:pPr>
        <w:tabs>
          <w:tab w:val="left" w:pos="1134"/>
        </w:tabs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0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DF3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80A" w:rsidRPr="00E1180A" w:rsidRDefault="00E1180A" w:rsidP="00E1180A">
      <w:pPr>
        <w:tabs>
          <w:tab w:val="left" w:pos="1134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80A">
        <w:rPr>
          <w:rFonts w:ascii="Times New Roman" w:hAnsi="Times New Roman" w:cs="Times New Roman"/>
          <w:b/>
          <w:sz w:val="24"/>
          <w:szCs w:val="24"/>
        </w:rPr>
        <w:t xml:space="preserve">прогнозирования поступлений доходов в бюджет </w:t>
      </w:r>
    </w:p>
    <w:p w:rsidR="00E1180A" w:rsidRPr="00E1180A" w:rsidRDefault="00E1180A" w:rsidP="00E1180A">
      <w:pPr>
        <w:pStyle w:val="210"/>
        <w:tabs>
          <w:tab w:val="left" w:pos="1134"/>
        </w:tabs>
        <w:autoSpaceDE w:val="0"/>
        <w:spacing w:after="0" w:line="240" w:lineRule="auto"/>
        <w:jc w:val="center"/>
        <w:rPr>
          <w:b/>
        </w:rPr>
      </w:pPr>
      <w:r w:rsidRPr="00E1180A">
        <w:rPr>
          <w:b/>
          <w:bCs/>
        </w:rPr>
        <w:t>муниципального образования П</w:t>
      </w:r>
      <w:r w:rsidR="00DF34A3">
        <w:rPr>
          <w:b/>
          <w:bCs/>
        </w:rPr>
        <w:t>етровское</w:t>
      </w:r>
      <w:r w:rsidRPr="00E1180A">
        <w:rPr>
          <w:b/>
          <w:bCs/>
        </w:rPr>
        <w:t xml:space="preserve"> сельское поселение</w:t>
      </w:r>
      <w:r w:rsidR="00DF34A3">
        <w:rPr>
          <w:b/>
          <w:bCs/>
        </w:rPr>
        <w:t xml:space="preserve"> муниципального образования Приозерский муниципальный район Ленинградской области</w:t>
      </w:r>
    </w:p>
    <w:p w:rsidR="00DF34A3" w:rsidRDefault="00DF34A3" w:rsidP="00DF34A3">
      <w:pPr>
        <w:autoSpaceDE w:val="0"/>
        <w:spacing w:after="0"/>
        <w:jc w:val="both"/>
        <w:rPr>
          <w:rStyle w:val="aa"/>
          <w:rFonts w:ascii="Times New Roman" w:hAnsi="Times New Roman" w:cs="Times New Roman"/>
          <w:color w:val="000000" w:themeColor="text1"/>
          <w:szCs w:val="24"/>
        </w:rPr>
      </w:pPr>
    </w:p>
    <w:p w:rsidR="002A631A" w:rsidRPr="002A631A" w:rsidRDefault="00DF34A3" w:rsidP="002A63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A">
        <w:rPr>
          <w:rFonts w:ascii="Times New Roman" w:hAnsi="Times New Roman" w:cs="Times New Roman"/>
          <w:sz w:val="24"/>
          <w:szCs w:val="24"/>
        </w:rPr>
        <w:t xml:space="preserve">1. </w:t>
      </w:r>
      <w:r w:rsidR="002A631A" w:rsidRPr="002A631A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методику прогнозирования поступлений доходов в бюджет муниципального образования П</w:t>
      </w:r>
      <w:r w:rsidR="002A631A">
        <w:rPr>
          <w:rFonts w:ascii="Times New Roman" w:hAnsi="Times New Roman" w:cs="Times New Roman"/>
          <w:sz w:val="24"/>
          <w:szCs w:val="24"/>
        </w:rPr>
        <w:t>етровское сельское поселение муниципального образования Приозерский муниципальный район Ленинградской области</w:t>
      </w:r>
      <w:r w:rsidR="002A631A" w:rsidRPr="002A631A">
        <w:rPr>
          <w:rFonts w:ascii="Times New Roman" w:hAnsi="Times New Roman" w:cs="Times New Roman"/>
          <w:sz w:val="24"/>
          <w:szCs w:val="24"/>
        </w:rPr>
        <w:t>, администрирование которых осуществляет администрац</w:t>
      </w:r>
      <w:r w:rsidR="002A631A">
        <w:rPr>
          <w:rFonts w:ascii="Times New Roman" w:hAnsi="Times New Roman" w:cs="Times New Roman"/>
          <w:sz w:val="24"/>
          <w:szCs w:val="24"/>
        </w:rPr>
        <w:t>ия муниципального образования Петровское</w:t>
      </w:r>
      <w:r w:rsidR="002A631A" w:rsidRPr="002A63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63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2A631A" w:rsidRPr="002A631A">
        <w:rPr>
          <w:rFonts w:ascii="Times New Roman" w:hAnsi="Times New Roman" w:cs="Times New Roman"/>
          <w:sz w:val="24"/>
          <w:szCs w:val="24"/>
        </w:rPr>
        <w:t xml:space="preserve"> (далее - главный администратор доходов, администратор доходов).  </w:t>
      </w:r>
    </w:p>
    <w:p w:rsidR="00DF34A3" w:rsidRPr="002A631A" w:rsidRDefault="002A631A" w:rsidP="002A63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1A">
        <w:rPr>
          <w:rFonts w:ascii="Times New Roman" w:hAnsi="Times New Roman" w:cs="Times New Roman"/>
          <w:sz w:val="24"/>
          <w:szCs w:val="24"/>
        </w:rPr>
        <w:t>2.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числе, использование данных о фактических поступлениях доходов за истекший период этого года, данные о котором подтверждены бюджетной отчетностью.</w:t>
      </w:r>
    </w:p>
    <w:p w:rsidR="00E1180A" w:rsidRPr="00E1180A" w:rsidRDefault="00E1180A" w:rsidP="002A631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3. Перечень доходов бюджета муниципального образования П</w:t>
      </w:r>
      <w:r w:rsidR="002A631A">
        <w:rPr>
          <w:rFonts w:ascii="Times New Roman" w:hAnsi="Times New Roman" w:cs="Times New Roman"/>
          <w:sz w:val="24"/>
          <w:szCs w:val="24"/>
        </w:rPr>
        <w:t>етровское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63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E1180A">
        <w:rPr>
          <w:rFonts w:ascii="Times New Roman" w:hAnsi="Times New Roman" w:cs="Times New Roman"/>
          <w:sz w:val="24"/>
          <w:szCs w:val="24"/>
        </w:rPr>
        <w:t>, администрирование которых осуществляет</w:t>
      </w:r>
      <w:r w:rsidR="002A631A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Pr="00E1180A">
        <w:rPr>
          <w:rFonts w:ascii="Times New Roman" w:hAnsi="Times New Roman" w:cs="Times New Roman"/>
          <w:sz w:val="24"/>
          <w:szCs w:val="24"/>
        </w:rPr>
        <w:t xml:space="preserve"> администратор доходов, наделенный соответствующими полномочиями, утверждается администрацией муниц</w:t>
      </w:r>
      <w:r w:rsidR="002A631A">
        <w:rPr>
          <w:rFonts w:ascii="Times New Roman" w:hAnsi="Times New Roman" w:cs="Times New Roman"/>
          <w:sz w:val="24"/>
          <w:szCs w:val="24"/>
        </w:rPr>
        <w:t>ипального образования Петровское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2A631A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2A631A" w:rsidRPr="00E118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631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общими требованиями, установленными Правительством Российской Федерации.</w:t>
      </w:r>
      <w:r w:rsidRPr="00E11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4. Доходы бюджета муниципального образования П</w:t>
      </w:r>
      <w:r w:rsidR="002A631A">
        <w:rPr>
          <w:rFonts w:ascii="Times New Roman" w:hAnsi="Times New Roman" w:cs="Times New Roman"/>
          <w:sz w:val="24"/>
          <w:szCs w:val="24"/>
        </w:rPr>
        <w:t>етровское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63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E1180A">
        <w:rPr>
          <w:rFonts w:ascii="Times New Roman" w:hAnsi="Times New Roman" w:cs="Times New Roman"/>
          <w:sz w:val="24"/>
          <w:szCs w:val="24"/>
        </w:rPr>
        <w:t>, администрирование которых осуществляет</w:t>
      </w:r>
      <w:r w:rsidR="002A631A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Pr="00E1180A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2A631A">
        <w:rPr>
          <w:rFonts w:ascii="Times New Roman" w:hAnsi="Times New Roman" w:cs="Times New Roman"/>
          <w:sz w:val="24"/>
          <w:szCs w:val="24"/>
        </w:rPr>
        <w:t xml:space="preserve">атор доходов, подразделяются на </w:t>
      </w:r>
      <w:r w:rsidRPr="00E1180A">
        <w:rPr>
          <w:rFonts w:ascii="Times New Roman" w:hAnsi="Times New Roman" w:cs="Times New Roman"/>
          <w:sz w:val="24"/>
          <w:szCs w:val="24"/>
        </w:rPr>
        <w:t>доходы</w:t>
      </w:r>
      <w:r w:rsidR="002A631A">
        <w:rPr>
          <w:rFonts w:ascii="Times New Roman" w:hAnsi="Times New Roman" w:cs="Times New Roman"/>
          <w:sz w:val="24"/>
          <w:szCs w:val="24"/>
        </w:rPr>
        <w:t>,</w:t>
      </w:r>
      <w:r w:rsidRPr="00E1180A">
        <w:rPr>
          <w:rFonts w:ascii="Times New Roman" w:hAnsi="Times New Roman" w:cs="Times New Roman"/>
          <w:sz w:val="24"/>
          <w:szCs w:val="24"/>
        </w:rPr>
        <w:t xml:space="preserve"> прогнозируемые и непрогнозируемые, но фактически поступающие в доход бюджета муниципального образования П</w:t>
      </w:r>
      <w:r w:rsidR="002A631A">
        <w:rPr>
          <w:rFonts w:ascii="Times New Roman" w:hAnsi="Times New Roman" w:cs="Times New Roman"/>
          <w:sz w:val="24"/>
          <w:szCs w:val="24"/>
        </w:rPr>
        <w:t>етровское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63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E1180A">
        <w:rPr>
          <w:rFonts w:ascii="Times New Roman" w:hAnsi="Times New Roman" w:cs="Times New Roman"/>
          <w:sz w:val="24"/>
          <w:szCs w:val="24"/>
        </w:rPr>
        <w:t>.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 xml:space="preserve"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 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Планируемый объем непрогнозируемых доходов подлежит включению в доходную часть бюджета муниципального образования П</w:t>
      </w:r>
      <w:r w:rsidR="002A631A">
        <w:rPr>
          <w:rFonts w:ascii="Times New Roman" w:hAnsi="Times New Roman" w:cs="Times New Roman"/>
          <w:sz w:val="24"/>
          <w:szCs w:val="24"/>
        </w:rPr>
        <w:t>етровское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сельское поселение в течение </w:t>
      </w:r>
      <w:r w:rsidRPr="00E1180A">
        <w:rPr>
          <w:rFonts w:ascii="Times New Roman" w:hAnsi="Times New Roman" w:cs="Times New Roman"/>
          <w:sz w:val="24"/>
          <w:szCs w:val="24"/>
        </w:rPr>
        <w:lastRenderedPageBreak/>
        <w:t>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 xml:space="preserve"> 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E1180A" w:rsidRPr="002A631A" w:rsidRDefault="00E1180A" w:rsidP="00E1180A">
      <w:pPr>
        <w:autoSpaceDE w:val="0"/>
        <w:spacing w:after="0"/>
        <w:ind w:firstLine="709"/>
        <w:jc w:val="both"/>
        <w:rPr>
          <w:rStyle w:val="aa"/>
          <w:rFonts w:ascii="Times New Roman" w:hAnsi="Times New Roman" w:cs="Times New Roman"/>
          <w:color w:val="000000" w:themeColor="text1"/>
          <w:szCs w:val="24"/>
        </w:rPr>
      </w:pPr>
      <w:r w:rsidRPr="002A631A">
        <w:rPr>
          <w:rFonts w:ascii="Times New Roman" w:hAnsi="Times New Roman" w:cs="Times New Roman"/>
          <w:color w:val="000000" w:themeColor="text1"/>
          <w:sz w:val="24"/>
          <w:szCs w:val="24"/>
        </w:rPr>
        <w:t>5.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Ленинградской области и представительных органов муниципального образования Приозерский муниципальный район Ленинградской области и муниципального образования П</w:t>
      </w:r>
      <w:r w:rsidR="009D04BC">
        <w:rPr>
          <w:rFonts w:ascii="Times New Roman" w:hAnsi="Times New Roman" w:cs="Times New Roman"/>
          <w:color w:val="000000" w:themeColor="text1"/>
          <w:sz w:val="24"/>
          <w:szCs w:val="24"/>
        </w:rPr>
        <w:t>етровское</w:t>
      </w:r>
      <w:r w:rsidRPr="002A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9D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BC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2A63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80A" w:rsidRPr="009D04BC" w:rsidRDefault="00E1180A" w:rsidP="009D04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4BC">
        <w:rPr>
          <w:rFonts w:ascii="Times New Roman" w:hAnsi="Times New Roman" w:cs="Times New Roman"/>
          <w:sz w:val="24"/>
          <w:szCs w:val="24"/>
        </w:rPr>
        <w:t>6. Методика прогнозирования составляется с учетом нормативных правовых актов Российской Федерации, Ленинградской обла</w:t>
      </w:r>
      <w:r w:rsidR="009D04BC">
        <w:rPr>
          <w:rFonts w:ascii="Times New Roman" w:hAnsi="Times New Roman" w:cs="Times New Roman"/>
          <w:sz w:val="24"/>
          <w:szCs w:val="24"/>
        </w:rPr>
        <w:t xml:space="preserve">сти, </w:t>
      </w:r>
      <w:r w:rsidRPr="009D04BC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 Приозерский муниципальный район Ленинградской области, решений Совета депутатов муниципального образования П</w:t>
      </w:r>
      <w:r w:rsidR="009D04BC">
        <w:rPr>
          <w:rFonts w:ascii="Times New Roman" w:hAnsi="Times New Roman" w:cs="Times New Roman"/>
          <w:sz w:val="24"/>
          <w:szCs w:val="24"/>
        </w:rPr>
        <w:t>етровское</w:t>
      </w:r>
      <w:r w:rsidRPr="009D04B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D0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9D04BC">
        <w:rPr>
          <w:rFonts w:ascii="Times New Roman" w:hAnsi="Times New Roman" w:cs="Times New Roman"/>
          <w:sz w:val="24"/>
          <w:szCs w:val="24"/>
        </w:rPr>
        <w:t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структурного подразделения (должностного лица) администрации муниципального образования П</w:t>
      </w:r>
      <w:r w:rsidR="009D04BC">
        <w:rPr>
          <w:rFonts w:ascii="Times New Roman" w:hAnsi="Times New Roman" w:cs="Times New Roman"/>
          <w:sz w:val="24"/>
          <w:szCs w:val="24"/>
        </w:rPr>
        <w:t>етровское</w:t>
      </w:r>
      <w:r w:rsidRPr="009D04B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D0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9D04BC">
        <w:rPr>
          <w:rFonts w:ascii="Times New Roman" w:hAnsi="Times New Roman" w:cs="Times New Roman"/>
          <w:sz w:val="24"/>
          <w:szCs w:val="24"/>
        </w:rPr>
        <w:t>, ответственного за составление проекта местного бюджета.</w:t>
      </w:r>
    </w:p>
    <w:p w:rsidR="00E1180A" w:rsidRPr="00E1180A" w:rsidRDefault="00E1180A" w:rsidP="009D04B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7. Прогнозирование доходов бюджета осуществляется на основе: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1) показателей прогноза социально-экономического развития Российской Федерации, Ленинградской области, муниципального образования Приозерский муниципальный район Ленинградской области, муниципального образования П</w:t>
      </w:r>
      <w:r w:rsidR="009D04BC">
        <w:rPr>
          <w:rFonts w:ascii="Times New Roman" w:hAnsi="Times New Roman" w:cs="Times New Roman"/>
          <w:sz w:val="24"/>
          <w:szCs w:val="24"/>
        </w:rPr>
        <w:t>етровское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D0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E1180A">
        <w:rPr>
          <w:rFonts w:ascii="Times New Roman" w:hAnsi="Times New Roman" w:cs="Times New Roman"/>
          <w:sz w:val="24"/>
          <w:szCs w:val="24"/>
        </w:rPr>
        <w:t xml:space="preserve"> в случаях, когда прогноз соответствующего вида </w:t>
      </w:r>
      <w:r w:rsidRPr="00E1180A">
        <w:rPr>
          <w:rFonts w:ascii="Times New Roman" w:hAnsi="Times New Roman" w:cs="Times New Roman"/>
          <w:iCs/>
          <w:sz w:val="24"/>
          <w:szCs w:val="24"/>
        </w:rPr>
        <w:t xml:space="preserve">доходов </w:t>
      </w:r>
      <w:r w:rsidRPr="00E1180A">
        <w:rPr>
          <w:rFonts w:ascii="Times New Roman" w:hAnsi="Times New Roman" w:cs="Times New Roman"/>
          <w:sz w:val="24"/>
          <w:szCs w:val="24"/>
        </w:rPr>
        <w:t>предусматривает использование показателей социально-экономического развития;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2)  основных направлений бюджетной и налоговой политики;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3) действующего бюджетного и налогового законодательства с учетом предполагаемых изменений.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8. Прогнозирование доходов бюджета включает проведение следующих мероприятий: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2) расчет прогноза поступлений.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9. Для расчета прогноза поступлений используются: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1) статистическая, бюджетная и налоговая отчетность;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2) оценка поступлений доходов в бюджет поселения в текущем финансовом году;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 xml:space="preserve">3) материалы и сведения, предоставляемые хозяйствующими субъектами. 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lastRenderedPageBreak/>
        <w:t>Для каждого вида доходов применяется один из следующих методов (комбинация следующих методов) расчета: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усреднение -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случае, если он не превышает 3 года;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бюджета;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E1180A" w:rsidRPr="00E1180A" w:rsidRDefault="00E1180A" w:rsidP="00E1180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иной способ, который должен быть описан и обоснован.</w:t>
      </w:r>
    </w:p>
    <w:p w:rsidR="00980724" w:rsidRDefault="00E1180A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>10. Прогнозирование по видам доходов осуществляется по Методике прогнозирования поступлений доходов в бюджет муниципального образования П</w:t>
      </w:r>
      <w:r w:rsidR="009D04BC">
        <w:rPr>
          <w:rFonts w:ascii="Times New Roman" w:hAnsi="Times New Roman" w:cs="Times New Roman"/>
          <w:sz w:val="24"/>
          <w:szCs w:val="24"/>
        </w:rPr>
        <w:t xml:space="preserve">етровское </w:t>
      </w:r>
      <w:r w:rsidRPr="00E1180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D0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E1180A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Порядку.</w:t>
      </w: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rPr>
          <w:rFonts w:ascii="Times New Roman" w:hAnsi="Times New Roman" w:cs="Times New Roman"/>
          <w:sz w:val="24"/>
          <w:szCs w:val="24"/>
        </w:rPr>
      </w:pPr>
    </w:p>
    <w:p w:rsidR="009D04BC" w:rsidRDefault="009D04BC" w:rsidP="009D04BC">
      <w:pPr>
        <w:rPr>
          <w:rFonts w:ascii="Times New Roman" w:hAnsi="Times New Roman" w:cs="Times New Roman"/>
          <w:sz w:val="24"/>
          <w:szCs w:val="24"/>
        </w:rPr>
      </w:pPr>
    </w:p>
    <w:p w:rsidR="00D52461" w:rsidRDefault="00D52461" w:rsidP="009D04BC">
      <w:pPr>
        <w:rPr>
          <w:rFonts w:ascii="Times New Roman" w:hAnsi="Times New Roman" w:cs="Times New Roman"/>
          <w:sz w:val="24"/>
          <w:szCs w:val="24"/>
        </w:rPr>
        <w:sectPr w:rsidR="00D52461" w:rsidSect="00D52461">
          <w:pgSz w:w="11906" w:h="16838"/>
          <w:pgMar w:top="993" w:right="707" w:bottom="1135" w:left="1701" w:header="709" w:footer="709" w:gutter="0"/>
          <w:cols w:space="708"/>
          <w:docGrid w:linePitch="360"/>
        </w:sectPr>
      </w:pPr>
    </w:p>
    <w:p w:rsidR="005F6EB7" w:rsidRPr="005F6EB7" w:rsidRDefault="005F6EB7" w:rsidP="001A5D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6EB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Порядку </w:t>
      </w:r>
    </w:p>
    <w:p w:rsidR="005F6EB7" w:rsidRPr="005F6EB7" w:rsidRDefault="005F6EB7" w:rsidP="001A5D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6EB7">
        <w:rPr>
          <w:rFonts w:ascii="Times New Roman" w:hAnsi="Times New Roman" w:cs="Times New Roman"/>
          <w:sz w:val="20"/>
          <w:szCs w:val="20"/>
        </w:rPr>
        <w:t xml:space="preserve">прогнозирования поступлений доходов </w:t>
      </w:r>
    </w:p>
    <w:p w:rsidR="00CA1CD5" w:rsidRDefault="005F6EB7" w:rsidP="001A5D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6EB7">
        <w:rPr>
          <w:rFonts w:ascii="Times New Roman" w:hAnsi="Times New Roman" w:cs="Times New Roman"/>
          <w:sz w:val="20"/>
          <w:szCs w:val="20"/>
        </w:rPr>
        <w:t xml:space="preserve">в бюджет муниципального образования </w:t>
      </w:r>
      <w:r w:rsidR="00CA1CD5">
        <w:rPr>
          <w:rFonts w:ascii="Times New Roman" w:hAnsi="Times New Roman" w:cs="Times New Roman"/>
          <w:sz w:val="20"/>
          <w:szCs w:val="20"/>
        </w:rPr>
        <w:t>Петровское</w:t>
      </w:r>
      <w:r w:rsidRPr="005F6EB7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</w:p>
    <w:p w:rsidR="005F6EB7" w:rsidRDefault="000F024A" w:rsidP="001A5D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Приозерский муниципальный район</w:t>
      </w:r>
    </w:p>
    <w:p w:rsidR="000F024A" w:rsidRPr="005F6EB7" w:rsidRDefault="000F024A" w:rsidP="001A5D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5F6EB7" w:rsidRPr="005F6EB7" w:rsidRDefault="005F6EB7" w:rsidP="005F6EB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F6EB7" w:rsidRPr="005F6EB7" w:rsidRDefault="005F6EB7" w:rsidP="005F6EB7">
      <w:pPr>
        <w:autoSpaceDE w:val="0"/>
        <w:jc w:val="center"/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</w:rPr>
      </w:pPr>
    </w:p>
    <w:p w:rsidR="005F6EB7" w:rsidRPr="001A5D77" w:rsidRDefault="005F6EB7" w:rsidP="001A5D77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D7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МЕТОДИКА</w:t>
      </w:r>
    </w:p>
    <w:p w:rsidR="005F6EB7" w:rsidRPr="000F024A" w:rsidRDefault="005F6EB7" w:rsidP="000F024A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D7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прогнозирования поступлений доходов в бюджет муниципального образования П</w:t>
      </w:r>
      <w:r w:rsidR="000F024A">
        <w:rPr>
          <w:rFonts w:ascii="Times New Roman" w:eastAsia="Times New Roman" w:hAnsi="Times New Roman" w:cs="Times New Roman"/>
          <w:b/>
          <w:bCs/>
          <w:sz w:val="24"/>
          <w:szCs w:val="24"/>
        </w:rPr>
        <w:t>етровское</w:t>
      </w:r>
      <w:r w:rsidRPr="001A5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0F0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:rsidR="005F6EB7" w:rsidRPr="005F6EB7" w:rsidRDefault="005F6EB7" w:rsidP="005F6EB7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689"/>
        <w:gridCol w:w="1075"/>
        <w:gridCol w:w="1841"/>
        <w:gridCol w:w="2049"/>
        <w:gridCol w:w="977"/>
        <w:gridCol w:w="1578"/>
        <w:gridCol w:w="2214"/>
        <w:gridCol w:w="3531"/>
      </w:tblGrid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ратора доходов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-вание главного админист-ратора доходов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КБК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1"/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КБК доходов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метода расчета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3"/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расчета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4"/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показателей </w:t>
            </w:r>
            <w:r w:rsidRPr="005F6EB7"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</w:rPr>
              <w:endnoteReference w:customMarkFollows="1" w:id="5"/>
              <w:t>5</w:t>
            </w: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828A5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 w:rsidR="00D828A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10804020011</w:t>
            </w:r>
            <w:r w:rsidR="005F6EB7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000110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нотариальных действий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Комбинация метода прямого расчета и метода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Пгос = П1гос + П2гос +…. +П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</w:p>
          <w:p w:rsidR="005F6EB7" w:rsidRPr="005F6EB7" w:rsidRDefault="005F6EB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EB7" w:rsidRPr="005F6EB7" w:rsidRDefault="005F6EB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Пгос - </w:t>
            </w: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госпошлины, прогнозируемая к поступлению в бюджет муниципального образования, в очередном году и (или) прогнозируемом периоде;</w:t>
            </w:r>
          </w:p>
          <w:p w:rsidR="005F6EB7" w:rsidRPr="005F6EB7" w:rsidRDefault="005F6EB7" w:rsidP="00DD7006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П1гос, П2гос, 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гос – виды госпошлины, где</w:t>
            </w:r>
          </w:p>
          <w:p w:rsidR="005F6EB7" w:rsidRPr="005F6EB7" w:rsidRDefault="005F6EB7" w:rsidP="00DD7006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П1гос=Кгос* Ст</w:t>
            </w:r>
          </w:p>
          <w:p w:rsidR="005F6EB7" w:rsidRPr="005F6EB7" w:rsidRDefault="005F6EB7" w:rsidP="00DD7006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П2гос =Кгос* Ст</w:t>
            </w:r>
          </w:p>
          <w:p w:rsidR="005F6EB7" w:rsidRPr="005F6EB7" w:rsidRDefault="005F6EB7" w:rsidP="00DD7006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гос=Кгос* Ст, где</w:t>
            </w:r>
          </w:p>
          <w:p w:rsidR="005F6EB7" w:rsidRPr="005F6EB7" w:rsidRDefault="005F6EB7" w:rsidP="00DD7006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количество прогнозируемых видов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госпошлин</w:t>
            </w:r>
          </w:p>
          <w:p w:rsidR="005F6EB7" w:rsidRPr="005F6EB7" w:rsidRDefault="005F6EB7" w:rsidP="00DD7006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 - размер госпошлины по видам </w:t>
            </w:r>
          </w:p>
          <w:p w:rsidR="005F6EB7" w:rsidRPr="005F6EB7" w:rsidRDefault="005F6EB7" w:rsidP="00DD7006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Кгос- количество госпошлин (фактов уплаты госпошлины) по видам, </w:t>
            </w:r>
            <w:r w:rsidRPr="005F6EB7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определяется методом усреднения по следующей формуле</w:t>
            </w:r>
          </w:p>
          <w:p w:rsidR="005F6EB7" w:rsidRPr="005F6EB7" w:rsidRDefault="005F6EB7" w:rsidP="00DD7006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Кгос= (Кгос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(т-1)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Кгос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(т-2)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Кгос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(т-3)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)/3</w:t>
            </w:r>
          </w:p>
          <w:p w:rsidR="005F6EB7" w:rsidRPr="005F6EB7" w:rsidRDefault="005F6EB7" w:rsidP="00DD7006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т – текущий год</w:t>
            </w:r>
          </w:p>
        </w:tc>
      </w:tr>
      <w:tr w:rsidR="00941A0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07" w:rsidRPr="005F6EB7" w:rsidRDefault="00941A07" w:rsidP="00DD7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0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07" w:rsidRPr="005F6EB7" w:rsidRDefault="00941A07" w:rsidP="00D828A5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07" w:rsidRDefault="00C57692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11103050100000120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07" w:rsidRPr="005F6EB7" w:rsidRDefault="00C57692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07" w:rsidRPr="005F6EB7" w:rsidRDefault="00C57692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Комбинация метода прямого расчета и метода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92" w:rsidRPr="005F6EB7" w:rsidRDefault="00C57692" w:rsidP="00C57692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Пгос = П1гос + П2гос +…. +П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</w:p>
          <w:p w:rsidR="00941A07" w:rsidRPr="005F6EB7" w:rsidRDefault="00941A0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07" w:rsidRPr="005F6EB7" w:rsidRDefault="00941A0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92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Пгос - </w:t>
            </w: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госпошлины, прогнозируемая к поступлению в бюджет муниципального образования, в очередном году и (или) прогнозируемом периоде;</w:t>
            </w:r>
          </w:p>
          <w:p w:rsidR="00C57692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П1гос, П2гос, 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гос – виды госпошлины, где</w:t>
            </w:r>
          </w:p>
          <w:p w:rsidR="00C57692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П1гос=Кгос* Ст</w:t>
            </w:r>
          </w:p>
          <w:p w:rsidR="00C57692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П2гос =Кгос* Ст</w:t>
            </w:r>
          </w:p>
          <w:p w:rsidR="00C57692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гос=Кгос* Ст, где</w:t>
            </w:r>
          </w:p>
          <w:p w:rsidR="00C57692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прогнозируемых видов госпошлин</w:t>
            </w:r>
          </w:p>
          <w:p w:rsidR="00C57692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 - размер госпошлины по видам </w:t>
            </w:r>
          </w:p>
          <w:p w:rsidR="00C57692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Кгос- количество госпошлин (фактов уплаты госпошлины) по видам, </w:t>
            </w:r>
            <w:r w:rsidRPr="005F6EB7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определяется методом усреднения по следующей формуле</w:t>
            </w:r>
          </w:p>
          <w:p w:rsidR="00C57692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Кгос= (Кгос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(т-1)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Кгос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(т-2)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Кгос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(т-3)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)/3</w:t>
            </w:r>
          </w:p>
          <w:p w:rsidR="00941A07" w:rsidRPr="005F6EB7" w:rsidRDefault="00C57692" w:rsidP="00C57692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т – текущий год</w:t>
            </w: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11105025100000120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N = Н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п,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расчета прогнозных показателей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Договоры, заключенные (планируемые к заключению) с арендаторами, являются источником данных о сдаваемой в аренду площади и ставке арендной платы.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в расчете используются показатели оценки результатов работы по взысканию дебиторской задолженности, определяемые методом усреднения.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N - прогноз поступления арендной платы за земельные участки в бюджет МО Плодовское сельское поселение;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начисленных платежей по арендной плате за земельные участки в бюджет поселения в текущем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выпадающих (дополнительных) доходов от сдачи в аренду земельных участков, определяется по следующей формуле: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= 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д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исп,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дополнительных (выпадающих) доходов, которая включает в себя: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выпадающих доходов,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= (S1+S2+S3)/3,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n - фактическое число заключенных договоров аренды;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i - договор аренды;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Ai - сумма арендной платы, установленная i-м договором аренды.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арендной платы, установленная i-м договором аренды, рассчитывается по формуле: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Аi = Aj * Sj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Aj - рыночная стоимость 1 кв. метра объекта нежилого фонда по i-му договору аренды на планируемый финансовый год;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Sj - площадь, кв. метров, сдаваемых в аренду в планируемом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Aj = Сi/Si,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Ci - рыночная стоимость права пользования объектом нежилого фонда по i-му договору аренды;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Si - площадь, кв. метров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= 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д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+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исп,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дополнительных (выпадающих) доходов, которая включает в себя: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сумма прогнозируемых начислений арендной платы,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сумма прогнозируемых начислений арендной платы,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будут осуществлены в очередном финансовом году;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= (S1+S2+S3)/3,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где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предъявленными к исполнению судебных решений о взыскании арендной платы и фактически поступившими платежами в бюджет по исполнительным листам за три отчетных года.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C57692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ДПп = (ФПт-1 + ФПт-2  + ФПт-3)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ДПп – прогноз прочих поступлений от использования муниципального имущества;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ФПт-1 , ФПт-2 , ФПт-3 – фактические поступления за использование муниципального имущества за три предыдущих года;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8A2FF0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F0" w:rsidRDefault="008A2FF0" w:rsidP="008A2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F0" w:rsidRDefault="008A2FF0" w:rsidP="008A2FF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F0" w:rsidRPr="005F6EB7" w:rsidRDefault="008A2FF0" w:rsidP="008A2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F0" w:rsidRPr="005F6EB7" w:rsidRDefault="008A2FF0" w:rsidP="008A2FF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11301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995100000130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F0" w:rsidRPr="005F6EB7" w:rsidRDefault="008A2FF0" w:rsidP="008A2FF0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FF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F0" w:rsidRPr="005F6EB7" w:rsidRDefault="008A2FF0" w:rsidP="008A2FF0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F0" w:rsidRPr="005F6EB7" w:rsidRDefault="008A2FF0" w:rsidP="008A2FF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ДПп = (ФПт-1 + ФПт-2  + ФПт-3)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F0" w:rsidRPr="005F6EB7" w:rsidRDefault="008A2FF0" w:rsidP="008A2FF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F0" w:rsidRPr="005F6EB7" w:rsidRDefault="008A2FF0" w:rsidP="008A2FF0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ДПп – прогноз прочих поступлений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платных услуг (работ)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A2FF0" w:rsidRPr="005F6EB7" w:rsidRDefault="008A2FF0" w:rsidP="008A2FF0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ФПт-1 , ФПт-2 , ФПт-3 – фактические поступления за использование муниципального имущества за три предыдущих года;</w:t>
            </w:r>
          </w:p>
          <w:p w:rsidR="008A2FF0" w:rsidRPr="005F6EB7" w:rsidRDefault="008A2FF0" w:rsidP="008A2FF0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8A2FF0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11302995100000130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метод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усреднения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Дпр = (∑Дпр-Др) /3,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производится без учета объема поступлений, имеющих разовый характер, для расчета прогнозируемого объема поступлений учитываются: 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суммы поступлений прочих доходов от компенсации затрат бюджета МО 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за последние три года.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поступлениям от компенсации затрат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имеющим «разовый» характер,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относятся: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сумм дебиторской задолженности прошлых лет, сложившихся на начало соответствующего финансового года;</w:t>
            </w:r>
          </w:p>
          <w:p w:rsidR="005F6EB7" w:rsidRPr="005F6EB7" w:rsidRDefault="005F6EB7" w:rsidP="004D4D9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сумм восстановления кассовых расходов прошлых лет, имеющих «разовый» характер (сумм возмещения произведенных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судебным решениям)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Дпр - суммы поступлений прочих доходов от компенсации затрат бюджета МО Плодовское сельское поселение;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∑Дпр – суммарный объем поступлений прочих доходов от компенсации затрат бюджета МО Плодовское сельское поселение за 3 года;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 – объем поступлений, имеющих разовый характер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4D4D92">
        <w:trPr>
          <w:trHeight w:val="1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8A2FF0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11401050100000410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РИ = Ст * Пл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РИ – объем доходов от реализации имущества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Ст- оценочная стоимость, либо рыночная стоимость  имущества. 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Пл- площадь объектов недвижимости, подлежащих реализации в очередном финансовом году.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8A2FF0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11402052100000410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РИ = Ст * Пл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8A2FF0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11402052100000440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т-1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+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т-2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+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 т-3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) / 3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т-1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,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т-2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,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т-3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т – текущий год.</w:t>
            </w:r>
          </w:p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413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13" w:rsidRPr="005F6EB7" w:rsidRDefault="008A2FF0" w:rsidP="00DD7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13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13" w:rsidRPr="005F6EB7" w:rsidRDefault="00897413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13" w:rsidRPr="005F6EB7" w:rsidRDefault="00941A0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1140205310000041</w:t>
            </w:r>
            <w:r w:rsidR="00897413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13" w:rsidRPr="005F6EB7" w:rsidRDefault="00941A0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13" w:rsidRPr="005F6EB7" w:rsidRDefault="00941A0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A07" w:rsidRPr="005F6EB7" w:rsidRDefault="00941A07" w:rsidP="00941A07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т-1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+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мз т-2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+ ДР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мз т-3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) / 3</w:t>
            </w:r>
          </w:p>
          <w:p w:rsidR="00897413" w:rsidRPr="005F6EB7" w:rsidRDefault="00897413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13" w:rsidRPr="005F6EB7" w:rsidRDefault="00897413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13" w:rsidRPr="005F6EB7" w:rsidRDefault="00897413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C57692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11402053100000440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ДРмз = (ДРмз т-1 + ДРмз т-2  + ДРмз 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C57692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11406025100000430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исключением земельных участков муниципальных,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>РИ = Ст * Пл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определения рыночной стоимости - средняя стоимость  аналогичного земельного участка  </w:t>
            </w:r>
            <w:r w:rsidRPr="005F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реализованного в предшествующем периоде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 – объем доходов от реализации имущества</w:t>
            </w:r>
          </w:p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t xml:space="preserve">Ст- оценочная стоимость, либо рыночная стоимость  имущества. </w:t>
            </w:r>
          </w:p>
          <w:p w:rsidR="005F6EB7" w:rsidRPr="005F6EB7" w:rsidRDefault="005F6EB7" w:rsidP="00DD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Пл- площадь объектов недвижимости, подлежащих реализации в очередном финансовом году</w:t>
            </w:r>
          </w:p>
        </w:tc>
      </w:tr>
      <w:tr w:rsidR="00183A51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BE55F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0202002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Пш = ∑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  <w:p w:rsidR="00183A51" w:rsidRPr="005F6EB7" w:rsidRDefault="00183A51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платежей).</w:t>
            </w:r>
          </w:p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иных случаях определение прогнозного количества наложенных штрафов и иных сумм принудительного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изъятия (платежей) по каждому виду правонарушений, закрепленному в зако</w:t>
            </w:r>
            <w:r w:rsidRPr="00183A51">
              <w:rPr>
                <w:rFonts w:ascii="Times New Roman" w:eastAsia="Times New Roman" w:hAnsi="Times New Roman" w:cs="Times New Roman"/>
                <w:sz w:val="20"/>
                <w:szCs w:val="20"/>
              </w:rPr>
              <w:t>нодательстве Российской Федерации, основывается на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      </w:r>
          </w:p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размеров штрафов и иных сумм принудительного изъятия (платежей) по каждому виду правонарушений должен производиться с учетом изменений законодательства, запланированных на очередной финансовый год и плановый период.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Пш – прогнозируемые денежные взыскания (штрафы) зачисляемые в бюджет муниципальных образований.</w:t>
            </w:r>
          </w:p>
          <w:p w:rsidR="00183A51" w:rsidRPr="005F6EB7" w:rsidRDefault="00183A51" w:rsidP="00DD70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  <w:tr w:rsidR="00183A51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183A51" w:rsidRDefault="00183A51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A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183A51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183A51" w:rsidRDefault="00183A51" w:rsidP="00DD70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A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116070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Пш = ∑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  <w:p w:rsidR="00183A51" w:rsidRPr="005F6EB7" w:rsidRDefault="00183A51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A51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11607090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штрафы, неустойки, пени,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Метод прямого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Пш = ∑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  <w:p w:rsidR="00183A51" w:rsidRPr="005F6EB7" w:rsidRDefault="00183A51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A51" w:rsidRPr="005F6EB7" w:rsidRDefault="00183A51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183A51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116101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010000140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Пш = ∑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084B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8A2F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183A51" w:rsidRDefault="00CC084B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A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117010</w:t>
            </w:r>
            <w:r w:rsidRPr="00183A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183A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183A51" w:rsidRDefault="00CC084B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A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год и плановый период. </w:t>
            </w:r>
          </w:p>
          <w:p w:rsidR="00CC084B" w:rsidRPr="005F6EB7" w:rsidRDefault="00CC084B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Прогнозируемый объем указанных доходов подлежит включению в доходную часть бюджета МО Плодовское сельское поселение в течение финансового года с учетом информации о фактическом поступлении.</w:t>
            </w:r>
          </w:p>
          <w:p w:rsidR="00CC084B" w:rsidRPr="005F6EB7" w:rsidRDefault="00CC084B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084B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8A2FF0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3F3430" w:rsidP="00DD7006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админист-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11705050100000180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084B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Default="00CC084B" w:rsidP="008A2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Default="003F3430" w:rsidP="00DD7006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11716000100000180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CC084B" w:rsidRDefault="00CC084B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84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4B" w:rsidRPr="005F6EB7" w:rsidRDefault="00CC084B" w:rsidP="00DD700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CC084B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15002</w:t>
            </w: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бюджетов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объем безвозмездных поступлений определяется на основании объема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 соответствующего бюджета бюджетной системы Российской Федерации в случае, если такой объем расходов определен</w:t>
            </w:r>
          </w:p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CC084B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15001</w:t>
            </w: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8A2FF0" w:rsidP="00DD7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4D4D92">
        <w:trPr>
          <w:trHeight w:val="12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CD6270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20219999100000150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DD7006" w:rsidRDefault="00DD7006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DD7006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DD7006" w:rsidRDefault="00D828A5" w:rsidP="00DD70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DD7006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0041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DD7006" w:rsidRDefault="005F6EB7" w:rsidP="00DD70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 w:rsid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значения)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DD7006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DD7006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DD7006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7006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06" w:rsidRPr="00DD7006" w:rsidRDefault="005836F4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06" w:rsidRPr="00DD7006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06" w:rsidRPr="00DD7006" w:rsidRDefault="00DD7006" w:rsidP="00DD70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06" w:rsidRPr="00DD7006" w:rsidRDefault="00DD7006" w:rsidP="005836F4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583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0077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06" w:rsidRPr="00DD7006" w:rsidRDefault="00DD7006" w:rsidP="005836F4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583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06" w:rsidRPr="00DD7006" w:rsidRDefault="00DD7006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06" w:rsidRPr="00DD7006" w:rsidRDefault="00DD7006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06" w:rsidRPr="00DD7006" w:rsidRDefault="00DD7006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6" w:rsidRPr="005F6EB7" w:rsidRDefault="00DD7006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B08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3F3430" w:rsidP="00874B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0079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переселение граждан из жилищного фонда, признанного непригодным для проживания и (или) жилищного фонда с высоким уровнем износа (более 70 процентов)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08" w:rsidRPr="005F6EB7" w:rsidRDefault="00874B08" w:rsidP="00874B0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B08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Default="00874B08" w:rsidP="008A2F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3F3430" w:rsidP="00874B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02161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осуществление дорожной деятельности </w:t>
            </w:r>
            <w:r w:rsidRPr="00FF70E0">
              <w:rPr>
                <w:rFonts w:ascii="Times New Roman" w:hAnsi="Times New Roman" w:cs="Times New Roman"/>
                <w:sz w:val="20"/>
                <w:szCs w:val="20"/>
              </w:rPr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08" w:rsidRPr="005F6EB7" w:rsidRDefault="00874B08" w:rsidP="00874B0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B08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Default="008A2FF0" w:rsidP="00874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3F3430" w:rsidP="00874B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02981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764187" w:rsidRPr="00FF70E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08" w:rsidRPr="00DD7006" w:rsidRDefault="00874B08" w:rsidP="00874B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08" w:rsidRPr="005F6EB7" w:rsidRDefault="00874B08" w:rsidP="00874B0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418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Default="00764187" w:rsidP="008A2F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3F3430" w:rsidP="0076418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02991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FF70E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187" w:rsidRPr="005F6EB7" w:rsidRDefault="00764187" w:rsidP="00764187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418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Default="00764187" w:rsidP="008A2F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3F3430" w:rsidP="0076418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03011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F80606" w:rsidRPr="00FF70E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87" w:rsidRPr="00DD7006" w:rsidRDefault="00764187" w:rsidP="00764187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187" w:rsidRPr="005F6EB7" w:rsidRDefault="00764187" w:rsidP="00764187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0606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Default="00F80606" w:rsidP="008A2F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3F3430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админист-рация МО Петровское сельское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03021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FF70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</w:t>
            </w:r>
            <w:r w:rsidRPr="00FF7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переселению граждан из аварийного жилищного фонда за счет средств бюджетов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6" w:rsidRPr="005F6EB7" w:rsidRDefault="00F80606" w:rsidP="00F806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0606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Default="00F80606" w:rsidP="008A2F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3F3430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54971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FF70E0"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мероприятий по обеспечению жильем молодых семей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6" w:rsidRPr="005F6EB7" w:rsidRDefault="00F80606" w:rsidP="00F806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0606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F80606" w:rsidRDefault="00F80606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2F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3F3430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55191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FF70E0">
              <w:rPr>
                <w:rFonts w:ascii="Times New Roman" w:hAnsi="Times New Roman" w:cs="Times New Roman"/>
                <w:sz w:val="20"/>
                <w:szCs w:val="20"/>
              </w:rPr>
              <w:t>поддержку отрасли культуры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6" w:rsidRPr="005F6EB7" w:rsidRDefault="00F80606" w:rsidP="00F806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0606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F80606" w:rsidRDefault="00F80606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6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2F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3F3430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99991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606" w:rsidRPr="00DD7006" w:rsidRDefault="00F80606" w:rsidP="00F806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606" w:rsidRPr="005F6EB7" w:rsidRDefault="00F80606" w:rsidP="00F806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630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F80606" w:rsidRDefault="00E06630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2F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3F3430" w:rsidP="00E0663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300241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30" w:rsidRPr="005F6EB7" w:rsidRDefault="00E06630" w:rsidP="00E0663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630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Default="00E06630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2F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3F3430" w:rsidP="00E0663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351181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30" w:rsidRPr="005F6EB7" w:rsidRDefault="00E06630" w:rsidP="00E0663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630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Default="00E06630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2F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3F3430" w:rsidP="00E0663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4E335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E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99991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4E3350" w:rsidP="00E06630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30" w:rsidRPr="00DD7006" w:rsidRDefault="00E06630" w:rsidP="00E0663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30" w:rsidRPr="005F6EB7" w:rsidRDefault="00E06630" w:rsidP="00E0663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50" w:rsidRPr="005F6EB7" w:rsidTr="004D4D92">
        <w:trPr>
          <w:trHeight w:val="79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Default="008A2FF0" w:rsidP="004E33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3F3430" w:rsidP="004E335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451601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70E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50" w:rsidRPr="005F6EB7" w:rsidRDefault="004E3350" w:rsidP="004E335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50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Default="004E3350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2F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3F3430" w:rsidP="004E335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админист-рация МО Петровское сельское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903C7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903C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903C7B" w:rsidP="004E3350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70E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</w:t>
            </w:r>
            <w:r w:rsidRPr="00FF7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50" w:rsidRPr="00DD7006" w:rsidRDefault="004E3350" w:rsidP="004E3350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утверждаемом законом (решением) о бюджете и (или) проектом закона (решения) о бюджете 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50" w:rsidRPr="005F6EB7" w:rsidRDefault="004E3350" w:rsidP="004E335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7B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7B" w:rsidRDefault="00903C7B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2F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7B" w:rsidRPr="00DD7006" w:rsidRDefault="003F3430" w:rsidP="00903C7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7B" w:rsidRPr="00DD7006" w:rsidRDefault="00903C7B" w:rsidP="00903C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7B" w:rsidRPr="00DD7006" w:rsidRDefault="00903C7B" w:rsidP="00903C7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499991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7B" w:rsidRPr="00DD7006" w:rsidRDefault="00903C7B" w:rsidP="00903C7B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</w:t>
            </w:r>
            <w:r w:rsidRPr="00FF70E0">
              <w:rPr>
                <w:rFonts w:ascii="Times New Roman" w:hAnsi="Times New Roman" w:cs="Times New Roman"/>
                <w:sz w:val="20"/>
                <w:szCs w:val="20"/>
              </w:rPr>
              <w:t xml:space="preserve">ежбюджетные трансферты, передаваемые бюджетам 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7B" w:rsidRPr="00DD7006" w:rsidRDefault="00903C7B" w:rsidP="00903C7B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7B" w:rsidRPr="00DD7006" w:rsidRDefault="00903C7B" w:rsidP="00903C7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C7B" w:rsidRPr="00DD7006" w:rsidRDefault="00903C7B" w:rsidP="00903C7B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Включаются в доходную часть бюджета МО </w:t>
            </w:r>
            <w:r w:rsidR="004D4D92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D4D92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етровское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сельское поселение в объеме, утверждаемом законом (решением) о бюджете и (или) проектом закона (решения) о бюджете </w:t>
            </w:r>
            <w:r w:rsidRPr="00DD70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Ленинградской области и муниципального образования Приозерский муниципальный район Ленинградской области на очередной финансовый год и плановый период, нормативными правовыми актами органов власти Ленинградской области, муниципальными правовыми актами органов местного самоуправления муниципального образования Приозерский муниципальный район Ленинградской области, заключенными соглашениями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C7B" w:rsidRPr="005F6EB7" w:rsidRDefault="00903C7B" w:rsidP="00903C7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903C7B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903C7B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20705010100000150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903C7B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значения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производится на основании заключенных договоров (соглашений) на предоставление добровольных пожертвований и на основании данных о фактических поступлениях в текущем финансовом году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903C7B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903C7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03C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05020100000150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903C7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</w:t>
            </w:r>
            <w:r w:rsidR="00903C7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физическими лицами получателями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4D4D92">
        <w:trPr>
          <w:trHeight w:val="12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903C7B" w:rsidP="008A2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2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D828A5" w:rsidP="00DD70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админист-рация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903C7B" w:rsidP="00903C7B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  <w:r w:rsidR="005F6EB7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5F6EB7"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903C7B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B7" w:rsidRPr="005F6EB7" w:rsidTr="00DD70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4D4D92" w:rsidRDefault="004D4D92" w:rsidP="008A2F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2F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4D4D92" w:rsidRDefault="003F3430" w:rsidP="00DD7006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4D4D92" w:rsidRDefault="00D828A5" w:rsidP="00DD70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админист-рация МО Петровское сельское поселение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4D4D92" w:rsidRDefault="005F6EB7" w:rsidP="004D4D92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  <w:r w:rsidR="004D4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60010</w:t>
            </w:r>
            <w:r w:rsidRPr="004D4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100000150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4D4D92" w:rsidRDefault="005F6EB7" w:rsidP="00DD700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B7" w:rsidRPr="005F6EB7" w:rsidRDefault="005F6EB7" w:rsidP="00DD7006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Прогнозируемый объем поступлений имеет отрицательное значение</w:t>
            </w:r>
          </w:p>
        </w:tc>
      </w:tr>
    </w:tbl>
    <w:p w:rsidR="009D04BC" w:rsidRPr="005F6EB7" w:rsidRDefault="009D04BC" w:rsidP="009D04BC">
      <w:pPr>
        <w:rPr>
          <w:rFonts w:ascii="Times New Roman" w:hAnsi="Times New Roman" w:cs="Times New Roman"/>
          <w:sz w:val="20"/>
          <w:szCs w:val="20"/>
        </w:rPr>
      </w:pPr>
    </w:p>
    <w:sectPr w:rsidR="009D04BC" w:rsidRPr="005F6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39" w:rsidRDefault="00FF4D39" w:rsidP="005F6EB7">
      <w:pPr>
        <w:spacing w:after="0" w:line="240" w:lineRule="auto"/>
      </w:pPr>
      <w:r>
        <w:separator/>
      </w:r>
    </w:p>
  </w:endnote>
  <w:endnote w:type="continuationSeparator" w:id="0">
    <w:p w:rsidR="00FF4D39" w:rsidRDefault="00FF4D39" w:rsidP="005F6EB7">
      <w:pPr>
        <w:spacing w:after="0" w:line="240" w:lineRule="auto"/>
      </w:pPr>
      <w:r>
        <w:continuationSeparator/>
      </w:r>
    </w:p>
  </w:endnote>
  <w:endnote w:id="1">
    <w:p w:rsidR="003F3430" w:rsidRDefault="003F3430" w:rsidP="005F6EB7">
      <w:pPr>
        <w:pStyle w:val="ad"/>
      </w:pPr>
      <w:r>
        <w:rPr>
          <w:rStyle w:val="ab"/>
        </w:rPr>
        <w:t>1</w:t>
      </w:r>
      <w:r>
        <w:tab/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3F3430" w:rsidRDefault="003F3430" w:rsidP="005F6EB7">
      <w:pPr>
        <w:pStyle w:val="ad"/>
        <w:jc w:val="both"/>
      </w:pPr>
      <w:r>
        <w:rPr>
          <w:rStyle w:val="ab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</w:p>
  </w:endnote>
  <w:endnote w:id="3">
    <w:p w:rsidR="003F3430" w:rsidRDefault="003F3430" w:rsidP="005F6EB7">
      <w:pPr>
        <w:pStyle w:val="ad"/>
      </w:pPr>
      <w:r>
        <w:rPr>
          <w:rStyle w:val="ab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3F3430" w:rsidRDefault="003F3430" w:rsidP="005F6EB7">
      <w:pPr>
        <w:pStyle w:val="ad"/>
        <w:jc w:val="both"/>
      </w:pPr>
      <w:r>
        <w:rPr>
          <w:rStyle w:val="ab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3F3430" w:rsidRDefault="003F3430" w:rsidP="005F6EB7">
      <w:pPr>
        <w:pStyle w:val="ad"/>
        <w:jc w:val="both"/>
      </w:pPr>
      <w:r>
        <w:rPr>
          <w:rStyle w:val="ab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0" w:rsidRDefault="003F34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0" w:rsidRDefault="003F343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0" w:rsidRDefault="003F34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39" w:rsidRDefault="00FF4D39" w:rsidP="005F6EB7">
      <w:pPr>
        <w:spacing w:after="0" w:line="240" w:lineRule="auto"/>
      </w:pPr>
      <w:r>
        <w:separator/>
      </w:r>
    </w:p>
  </w:footnote>
  <w:footnote w:type="continuationSeparator" w:id="0">
    <w:p w:rsidR="00FF4D39" w:rsidRDefault="00FF4D39" w:rsidP="005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0" w:rsidRDefault="003F34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0" w:rsidRDefault="003F343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0" w:rsidRDefault="003F34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FF0000"/>
        <w:sz w:val="28"/>
        <w:szCs w:val="28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1311D"/>
    <w:multiLevelType w:val="hybridMultilevel"/>
    <w:tmpl w:val="9CF03680"/>
    <w:lvl w:ilvl="0" w:tplc="64A6B7B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BC"/>
    <w:rsid w:val="00002953"/>
    <w:rsid w:val="00026775"/>
    <w:rsid w:val="000659CF"/>
    <w:rsid w:val="00084F9D"/>
    <w:rsid w:val="000A614C"/>
    <w:rsid w:val="000B0C67"/>
    <w:rsid w:val="000C6596"/>
    <w:rsid w:val="000E7D5F"/>
    <w:rsid w:val="000F024A"/>
    <w:rsid w:val="00145CC2"/>
    <w:rsid w:val="00155F5D"/>
    <w:rsid w:val="00183A51"/>
    <w:rsid w:val="001A5D77"/>
    <w:rsid w:val="001B26B9"/>
    <w:rsid w:val="00212D24"/>
    <w:rsid w:val="00237C3A"/>
    <w:rsid w:val="00246FEA"/>
    <w:rsid w:val="0029597C"/>
    <w:rsid w:val="002A4D6F"/>
    <w:rsid w:val="002A631A"/>
    <w:rsid w:val="002C0E38"/>
    <w:rsid w:val="003302CF"/>
    <w:rsid w:val="0035609B"/>
    <w:rsid w:val="0036264E"/>
    <w:rsid w:val="003668DB"/>
    <w:rsid w:val="003A26B2"/>
    <w:rsid w:val="003D30EA"/>
    <w:rsid w:val="003F3430"/>
    <w:rsid w:val="00456733"/>
    <w:rsid w:val="00475C79"/>
    <w:rsid w:val="00482266"/>
    <w:rsid w:val="004852E7"/>
    <w:rsid w:val="004B24DA"/>
    <w:rsid w:val="004B7EE6"/>
    <w:rsid w:val="004C2F91"/>
    <w:rsid w:val="004D4D92"/>
    <w:rsid w:val="004E1528"/>
    <w:rsid w:val="004E3350"/>
    <w:rsid w:val="004E64E5"/>
    <w:rsid w:val="00504B5B"/>
    <w:rsid w:val="00573180"/>
    <w:rsid w:val="005836F4"/>
    <w:rsid w:val="00591B1F"/>
    <w:rsid w:val="005F6EB7"/>
    <w:rsid w:val="00637DFC"/>
    <w:rsid w:val="00646162"/>
    <w:rsid w:val="00670E66"/>
    <w:rsid w:val="006A40A7"/>
    <w:rsid w:val="00764187"/>
    <w:rsid w:val="00765205"/>
    <w:rsid w:val="00793437"/>
    <w:rsid w:val="00795A2E"/>
    <w:rsid w:val="007A371F"/>
    <w:rsid w:val="007B0F8E"/>
    <w:rsid w:val="007E1E64"/>
    <w:rsid w:val="008407DC"/>
    <w:rsid w:val="00856B62"/>
    <w:rsid w:val="00874B08"/>
    <w:rsid w:val="008920DA"/>
    <w:rsid w:val="00897413"/>
    <w:rsid w:val="008A2FF0"/>
    <w:rsid w:val="008D3548"/>
    <w:rsid w:val="008D74AB"/>
    <w:rsid w:val="00903C7B"/>
    <w:rsid w:val="00921524"/>
    <w:rsid w:val="00941A07"/>
    <w:rsid w:val="00980724"/>
    <w:rsid w:val="009A5F4C"/>
    <w:rsid w:val="009B6A75"/>
    <w:rsid w:val="009B6EE4"/>
    <w:rsid w:val="009D04BC"/>
    <w:rsid w:val="009F1035"/>
    <w:rsid w:val="00A00AE8"/>
    <w:rsid w:val="00A53137"/>
    <w:rsid w:val="00A610A5"/>
    <w:rsid w:val="00A7152F"/>
    <w:rsid w:val="00AB66E7"/>
    <w:rsid w:val="00AD11AD"/>
    <w:rsid w:val="00B50CF8"/>
    <w:rsid w:val="00B57991"/>
    <w:rsid w:val="00B752F9"/>
    <w:rsid w:val="00BE55FD"/>
    <w:rsid w:val="00C436BC"/>
    <w:rsid w:val="00C57692"/>
    <w:rsid w:val="00C91FF6"/>
    <w:rsid w:val="00CA1CD5"/>
    <w:rsid w:val="00CB27AB"/>
    <w:rsid w:val="00CC04A2"/>
    <w:rsid w:val="00CC084B"/>
    <w:rsid w:val="00CC2276"/>
    <w:rsid w:val="00CC4A76"/>
    <w:rsid w:val="00CD6270"/>
    <w:rsid w:val="00D21700"/>
    <w:rsid w:val="00D25886"/>
    <w:rsid w:val="00D32E46"/>
    <w:rsid w:val="00D3612D"/>
    <w:rsid w:val="00D52461"/>
    <w:rsid w:val="00D828A5"/>
    <w:rsid w:val="00DA2006"/>
    <w:rsid w:val="00DD32DA"/>
    <w:rsid w:val="00DD649B"/>
    <w:rsid w:val="00DD7006"/>
    <w:rsid w:val="00DF34A3"/>
    <w:rsid w:val="00E05C4E"/>
    <w:rsid w:val="00E06630"/>
    <w:rsid w:val="00E1180A"/>
    <w:rsid w:val="00E5157B"/>
    <w:rsid w:val="00E73296"/>
    <w:rsid w:val="00EC0F91"/>
    <w:rsid w:val="00F03791"/>
    <w:rsid w:val="00F37203"/>
    <w:rsid w:val="00F60C03"/>
    <w:rsid w:val="00F80606"/>
    <w:rsid w:val="00F97243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5157B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a">
    <w:name w:val="Добавленный текст"/>
    <w:rsid w:val="00E1180A"/>
    <w:rPr>
      <w:rFonts w:hint="default"/>
      <w:color w:val="000000"/>
      <w:sz w:val="24"/>
      <w:shd w:val="clear" w:color="auto" w:fill="C1D7FF"/>
    </w:rPr>
  </w:style>
  <w:style w:type="character" w:customStyle="1" w:styleId="ab">
    <w:name w:val="Символы концевой сноски"/>
    <w:rsid w:val="005F6EB7"/>
    <w:rPr>
      <w:rFonts w:cs="Times New Roman"/>
      <w:vertAlign w:val="superscript"/>
    </w:rPr>
  </w:style>
  <w:style w:type="character" w:styleId="ac">
    <w:name w:val="endnote reference"/>
    <w:rsid w:val="005F6EB7"/>
    <w:rPr>
      <w:vertAlign w:val="superscript"/>
    </w:rPr>
  </w:style>
  <w:style w:type="paragraph" w:styleId="ad">
    <w:name w:val="endnote text"/>
    <w:basedOn w:val="a"/>
    <w:link w:val="ae"/>
    <w:rsid w:val="005F6EB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rsid w:val="005F6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rsid w:val="005F6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5F6EB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5F6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5F6EB7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35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2020-06-23T12:05:00Z</cp:lastPrinted>
  <dcterms:created xsi:type="dcterms:W3CDTF">2020-06-23T12:06:00Z</dcterms:created>
  <dcterms:modified xsi:type="dcterms:W3CDTF">2022-08-19T07:44:00Z</dcterms:modified>
</cp:coreProperties>
</file>