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78" w:rsidRDefault="00241C78" w:rsidP="00241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Петровского сельского поселения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41C78" w:rsidRPr="009859D4" w:rsidRDefault="00241C78" w:rsidP="00241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Приозерского </w:t>
      </w:r>
      <w:r w:rsidRPr="009859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</w:p>
    <w:p w:rsidR="00241C78" w:rsidRPr="009859D4" w:rsidRDefault="00241C78" w:rsidP="00241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59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CC04A2" w:rsidRPr="009859D4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4A2" w:rsidRPr="009859D4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59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5C4E" w:rsidRPr="009859D4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E" w:rsidRPr="009859D4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5" w:rsidRPr="009859D4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12D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859D4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162C5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29597C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859D4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04A2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05C4E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62C5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04A2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859D4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CC04A2" w:rsidRPr="009859D4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9859D4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</w:tblGrid>
      <w:tr w:rsidR="00CC04A2" w:rsidRPr="009859D4" w:rsidTr="003137F4">
        <w:trPr>
          <w:trHeight w:val="2486"/>
        </w:trPr>
        <w:tc>
          <w:tcPr>
            <w:tcW w:w="6106" w:type="dxa"/>
          </w:tcPr>
          <w:p w:rsidR="00CC04A2" w:rsidRPr="009859D4" w:rsidRDefault="0029597C" w:rsidP="009859D4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9859D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162C5" w:rsidRPr="009859D4">
              <w:rPr>
                <w:rFonts w:ascii="Times New Roman" w:hAnsi="Times New Roman" w:cs="Times New Roman"/>
                <w:sz w:val="28"/>
                <w:szCs w:val="28"/>
              </w:rPr>
              <w:t>отчета о реализации муниципальной программы «</w:t>
            </w:r>
            <w:r w:rsidR="003278E0" w:rsidRPr="009859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62C5" w:rsidRPr="009859D4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 w:rsidR="003278E0" w:rsidRPr="009859D4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</w:t>
            </w:r>
            <w:r w:rsidR="005162C5" w:rsidRPr="009859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Петровское сельское поселение муниципального образования Приозерский муниципальной район Ленинградской </w:t>
            </w:r>
            <w:r w:rsidR="003137F4" w:rsidRPr="009859D4">
              <w:rPr>
                <w:rFonts w:ascii="Times New Roman" w:hAnsi="Times New Roman" w:cs="Times New Roman"/>
                <w:sz w:val="28"/>
                <w:szCs w:val="28"/>
              </w:rPr>
              <w:t>области на 2022-2024 год» за 2022</w:t>
            </w:r>
            <w:r w:rsidR="005162C5" w:rsidRPr="009859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137F4" w:rsidRPr="009859D4" w:rsidRDefault="003137F4" w:rsidP="0038514F">
      <w:pPr>
        <w:pStyle w:val="aa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59D4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администрации от 26.11.2021 года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9859D4">
        <w:rPr>
          <w:rFonts w:ascii="Times New Roman" w:hAnsi="Times New Roman" w:cs="Times New Roman"/>
          <w:sz w:val="28"/>
          <w:szCs w:val="28"/>
          <w:lang w:eastAsia="ar-SA"/>
        </w:rPr>
        <w:t>администрация Петровского сельского поселения ПОСТАНОВЛЯЕТ:</w:t>
      </w:r>
    </w:p>
    <w:p w:rsidR="00F33466" w:rsidRPr="009859D4" w:rsidRDefault="00F33466" w:rsidP="0038514F">
      <w:pPr>
        <w:pStyle w:val="aa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D4">
        <w:rPr>
          <w:rFonts w:ascii="Times New Roman" w:hAnsi="Times New Roman" w:cs="Times New Roman"/>
          <w:sz w:val="24"/>
          <w:szCs w:val="24"/>
        </w:rPr>
        <w:t>1.</w:t>
      </w:r>
      <w:r w:rsidRPr="00985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7C" w:rsidRPr="009859D4">
        <w:rPr>
          <w:rFonts w:ascii="Times New Roman" w:hAnsi="Times New Roman" w:cs="Times New Roman"/>
          <w:sz w:val="24"/>
          <w:szCs w:val="24"/>
        </w:rPr>
        <w:t xml:space="preserve"> </w:t>
      </w:r>
      <w:r w:rsidRPr="009859D4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</w:t>
      </w:r>
      <w:r w:rsidR="0038514F" w:rsidRPr="0098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9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78E0" w:rsidRPr="009859D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859D4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3278E0" w:rsidRPr="009859D4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Pr="009859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Петровское сельское поселение муниципального образования Приозерский муниципальный рай</w:t>
      </w:r>
      <w:r w:rsidR="00E540B0" w:rsidRPr="009859D4">
        <w:rPr>
          <w:rFonts w:ascii="Times New Roman" w:eastAsia="Times New Roman" w:hAnsi="Times New Roman" w:cs="Times New Roman"/>
          <w:sz w:val="28"/>
          <w:szCs w:val="28"/>
        </w:rPr>
        <w:t>он Ленинградской области на 2022</w:t>
      </w:r>
      <w:r w:rsidRPr="009859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540B0" w:rsidRPr="009859D4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859D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540B0" w:rsidRPr="009859D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59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40B0" w:rsidRPr="009859D4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Pr="009859D4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постановлением администрации муниципального образования Петровское сельское поселение </w:t>
      </w:r>
      <w:r w:rsidRPr="009859D4">
        <w:rPr>
          <w:rFonts w:ascii="Times New Roman" w:hAnsi="Times New Roman" w:cs="Times New Roman"/>
          <w:sz w:val="28"/>
          <w:szCs w:val="28"/>
        </w:rPr>
        <w:t xml:space="preserve">№ </w:t>
      </w:r>
      <w:r w:rsidR="00E540B0" w:rsidRPr="009859D4">
        <w:rPr>
          <w:rFonts w:ascii="Times New Roman" w:hAnsi="Times New Roman" w:cs="Times New Roman"/>
          <w:sz w:val="28"/>
          <w:szCs w:val="28"/>
        </w:rPr>
        <w:t>231</w:t>
      </w:r>
      <w:r w:rsidRPr="009859D4">
        <w:rPr>
          <w:rFonts w:ascii="Times New Roman" w:hAnsi="Times New Roman" w:cs="Times New Roman"/>
          <w:sz w:val="28"/>
          <w:szCs w:val="28"/>
        </w:rPr>
        <w:t xml:space="preserve"> от </w:t>
      </w:r>
      <w:r w:rsidR="00E540B0" w:rsidRPr="009859D4">
        <w:rPr>
          <w:rFonts w:ascii="Times New Roman" w:hAnsi="Times New Roman" w:cs="Times New Roman"/>
          <w:sz w:val="28"/>
          <w:szCs w:val="28"/>
        </w:rPr>
        <w:t>29</w:t>
      </w:r>
      <w:r w:rsidRPr="009859D4">
        <w:rPr>
          <w:rFonts w:ascii="Times New Roman" w:hAnsi="Times New Roman" w:cs="Times New Roman"/>
          <w:sz w:val="28"/>
          <w:szCs w:val="28"/>
        </w:rPr>
        <w:t>.1</w:t>
      </w:r>
      <w:r w:rsidR="00E540B0" w:rsidRPr="009859D4">
        <w:rPr>
          <w:rFonts w:ascii="Times New Roman" w:hAnsi="Times New Roman" w:cs="Times New Roman"/>
          <w:sz w:val="28"/>
          <w:szCs w:val="28"/>
        </w:rPr>
        <w:t>2.2021</w:t>
      </w:r>
      <w:r w:rsidRPr="009859D4">
        <w:rPr>
          <w:rFonts w:ascii="Times New Roman" w:hAnsi="Times New Roman" w:cs="Times New Roman"/>
          <w:sz w:val="28"/>
          <w:szCs w:val="28"/>
        </w:rPr>
        <w:t xml:space="preserve"> г</w:t>
      </w:r>
      <w:r w:rsidR="00E540B0" w:rsidRPr="009859D4">
        <w:rPr>
          <w:rFonts w:ascii="Times New Roman" w:hAnsi="Times New Roman" w:cs="Times New Roman"/>
          <w:sz w:val="28"/>
          <w:szCs w:val="28"/>
        </w:rPr>
        <w:t>.</w:t>
      </w:r>
      <w:r w:rsidRPr="009859D4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29597C" w:rsidRPr="009859D4" w:rsidRDefault="0029597C" w:rsidP="00F334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9859D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41C78" w:rsidRPr="009859D4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241C78" w:rsidRPr="009859D4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241C78" w:rsidRPr="009859D4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8" w:history="1">
        <w:r w:rsidR="00241C78" w:rsidRPr="009859D4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241C78" w:rsidRPr="009859D4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241C78" w:rsidRPr="009859D4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CC04A2" w:rsidRPr="009859D4" w:rsidRDefault="0038514F" w:rsidP="0029597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D4">
        <w:rPr>
          <w:rFonts w:ascii="Times New Roman" w:hAnsi="Times New Roman" w:cs="Times New Roman"/>
          <w:sz w:val="28"/>
          <w:szCs w:val="28"/>
        </w:rPr>
        <w:t>3</w:t>
      </w:r>
      <w:r w:rsidR="0029597C" w:rsidRPr="009859D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5609B" w:rsidRPr="009859D4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7C" w:rsidRPr="009859D4" w:rsidRDefault="0029597C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DD" w:rsidRPr="009859D4" w:rsidRDefault="0035609B" w:rsidP="00A601D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597C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</w:t>
      </w:r>
      <w:r w:rsidR="00F33466"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859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C965DD" w:rsidRPr="009859D4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Pr="009859D4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C78" w:rsidRPr="009859D4" w:rsidRDefault="00241C78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C78" w:rsidRPr="009859D4" w:rsidRDefault="00241C78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DA4" w:rsidRPr="009859D4" w:rsidRDefault="002B0DA4" w:rsidP="00C965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DA4" w:rsidRPr="009859D4" w:rsidRDefault="002B0DA4" w:rsidP="00C965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5DD" w:rsidRPr="009859D4" w:rsidRDefault="00C965DD" w:rsidP="00C965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859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C965DD" w:rsidRPr="009859D4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965DD" w:rsidRPr="009859D4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965DD" w:rsidRPr="009859D4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</w:p>
    <w:p w:rsidR="00C965DD" w:rsidRPr="009859D4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C965DD" w:rsidRPr="009859D4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965DD" w:rsidRPr="009859D4" w:rsidRDefault="009859D4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31.03.2023</w:t>
      </w:r>
      <w:r w:rsidR="00C965DD" w:rsidRPr="0098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98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="00C965DD" w:rsidRPr="0098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5DD" w:rsidRPr="009859D4" w:rsidRDefault="00C965DD" w:rsidP="00C965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C965DD" w:rsidRPr="009859D4" w:rsidRDefault="00C965DD" w:rsidP="00C96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5DD" w:rsidRPr="009859D4" w:rsidRDefault="00C965DD" w:rsidP="00C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9D4">
        <w:rPr>
          <w:rFonts w:ascii="Times New Roman" w:hAnsi="Times New Roman" w:cs="Times New Roman"/>
          <w:sz w:val="28"/>
          <w:szCs w:val="28"/>
        </w:rPr>
        <w:t>ОТЧЕТ</w:t>
      </w:r>
    </w:p>
    <w:p w:rsidR="00C965DD" w:rsidRPr="009859D4" w:rsidRDefault="00C965DD" w:rsidP="00C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9D4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</w:t>
      </w:r>
    </w:p>
    <w:p w:rsidR="00C965DD" w:rsidRPr="009859D4" w:rsidRDefault="00C965DD" w:rsidP="00C96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9D4">
        <w:rPr>
          <w:rFonts w:ascii="Times New Roman" w:hAnsi="Times New Roman" w:cs="Times New Roman"/>
          <w:sz w:val="28"/>
          <w:szCs w:val="28"/>
        </w:rPr>
        <w:t>«</w:t>
      </w:r>
      <w:r w:rsidR="004C511B" w:rsidRPr="009859D4">
        <w:rPr>
          <w:rFonts w:ascii="Times New Roman" w:hAnsi="Times New Roman" w:cs="Times New Roman"/>
          <w:sz w:val="28"/>
          <w:szCs w:val="28"/>
        </w:rPr>
        <w:t>Р</w:t>
      </w:r>
      <w:r w:rsidRPr="009859D4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4C511B" w:rsidRPr="009859D4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985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Петровское сельское поселение муниципального образования Приозерский муниципальный рай</w:t>
      </w:r>
      <w:r w:rsidR="00A601DE" w:rsidRPr="009859D4">
        <w:rPr>
          <w:rFonts w:ascii="Times New Roman" w:hAnsi="Times New Roman" w:cs="Times New Roman"/>
          <w:sz w:val="28"/>
          <w:szCs w:val="28"/>
        </w:rPr>
        <w:t>он Ленинградской области на 2022-2024</w:t>
      </w:r>
      <w:r w:rsidRPr="009859D4">
        <w:rPr>
          <w:rFonts w:ascii="Times New Roman" w:hAnsi="Times New Roman" w:cs="Times New Roman"/>
          <w:sz w:val="28"/>
          <w:szCs w:val="28"/>
        </w:rPr>
        <w:t xml:space="preserve"> год</w:t>
      </w:r>
      <w:r w:rsidR="00A601DE" w:rsidRPr="009859D4">
        <w:rPr>
          <w:rFonts w:ascii="Times New Roman" w:hAnsi="Times New Roman" w:cs="Times New Roman"/>
          <w:sz w:val="28"/>
          <w:szCs w:val="28"/>
        </w:rPr>
        <w:t>ы» за 2022</w:t>
      </w:r>
      <w:r w:rsidRPr="009859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48B8" w:rsidRPr="00A601DE" w:rsidRDefault="00C965DD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D4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4C511B" w:rsidRPr="009859D4">
        <w:rPr>
          <w:rFonts w:ascii="Times New Roman" w:hAnsi="Times New Roman" w:cs="Times New Roman"/>
          <w:sz w:val="28"/>
          <w:szCs w:val="28"/>
        </w:rPr>
        <w:t>Р</w:t>
      </w:r>
      <w:r w:rsidRPr="009859D4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4C511B" w:rsidRPr="009859D4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985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948B8" w:rsidRPr="009859D4">
        <w:rPr>
          <w:rFonts w:ascii="Times New Roman" w:hAnsi="Times New Roman" w:cs="Times New Roman"/>
          <w:sz w:val="28"/>
          <w:szCs w:val="28"/>
        </w:rPr>
        <w:t>Петровское</w:t>
      </w:r>
      <w:r w:rsidRPr="009859D4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на 2020-2022 год» утверждена постановлением администрации</w:t>
      </w:r>
      <w:r w:rsidRPr="00A601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948B8" w:rsidRPr="00A601DE">
        <w:rPr>
          <w:rFonts w:ascii="Times New Roman" w:hAnsi="Times New Roman" w:cs="Times New Roman"/>
          <w:sz w:val="28"/>
          <w:szCs w:val="28"/>
        </w:rPr>
        <w:t>Петровское</w:t>
      </w:r>
      <w:r w:rsidRPr="00A601D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601DE" w:rsidRPr="00A601DE">
        <w:rPr>
          <w:rFonts w:ascii="Times New Roman" w:hAnsi="Times New Roman" w:cs="Times New Roman"/>
          <w:sz w:val="28"/>
          <w:szCs w:val="28"/>
        </w:rPr>
        <w:t>№ 231 от 29.12.2021 г.</w:t>
      </w:r>
    </w:p>
    <w:p w:rsidR="00C965DD" w:rsidRPr="00A601DE" w:rsidRDefault="00C965DD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82A0B" w:rsidRPr="00A601DE">
        <w:rPr>
          <w:rFonts w:ascii="Times New Roman" w:hAnsi="Times New Roman" w:cs="Times New Roman"/>
          <w:sz w:val="28"/>
          <w:szCs w:val="28"/>
        </w:rPr>
        <w:t>п</w:t>
      </w:r>
      <w:r w:rsidR="00A601DE" w:rsidRPr="00A601DE">
        <w:rPr>
          <w:rFonts w:ascii="Times New Roman" w:hAnsi="Times New Roman" w:cs="Times New Roman"/>
          <w:sz w:val="28"/>
          <w:szCs w:val="28"/>
        </w:rPr>
        <w:t>рограммы является – выполнение полномочий, связанных с организацией дорожной деятельности в отноше</w:t>
      </w:r>
      <w:bookmarkStart w:id="0" w:name="_GoBack"/>
      <w:bookmarkEnd w:id="0"/>
      <w:r w:rsidR="00A601DE" w:rsidRPr="00A601DE">
        <w:rPr>
          <w:rFonts w:ascii="Times New Roman" w:hAnsi="Times New Roman" w:cs="Times New Roman"/>
          <w:sz w:val="28"/>
          <w:szCs w:val="28"/>
        </w:rPr>
        <w:t>нии автомобильных дорог местного значения, с целью сохранения и совершенствования сети автомобильных дорог местного значения.</w:t>
      </w:r>
    </w:p>
    <w:p w:rsidR="00C965DD" w:rsidRPr="00A601DE" w:rsidRDefault="00182A0B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>В качестве задач п</w:t>
      </w:r>
      <w:r w:rsidR="00C965DD" w:rsidRPr="00A601DE">
        <w:rPr>
          <w:rFonts w:ascii="Times New Roman" w:hAnsi="Times New Roman" w:cs="Times New Roman"/>
          <w:sz w:val="28"/>
          <w:szCs w:val="28"/>
        </w:rPr>
        <w:t>рограммы определены:</w:t>
      </w:r>
    </w:p>
    <w:p w:rsidR="00A601DE" w:rsidRPr="00A601DE" w:rsidRDefault="00A601DE" w:rsidP="00A601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01DE">
        <w:rPr>
          <w:rFonts w:ascii="Times New Roman" w:hAnsi="Times New Roman" w:cs="Times New Roman"/>
          <w:spacing w:val="2"/>
          <w:sz w:val="28"/>
          <w:szCs w:val="28"/>
        </w:rPr>
        <w:t>-  повышение комфортных условий проживания граждан;</w:t>
      </w:r>
    </w:p>
    <w:p w:rsidR="00A601DE" w:rsidRPr="00A601DE" w:rsidRDefault="00A601DE" w:rsidP="00A601DE">
      <w:pPr>
        <w:pStyle w:val="ConsNormal"/>
        <w:widowControl/>
        <w:tabs>
          <w:tab w:val="left" w:pos="15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DE">
        <w:rPr>
          <w:rFonts w:ascii="Times New Roman" w:hAnsi="Times New Roman" w:cs="Times New Roman"/>
          <w:spacing w:val="2"/>
          <w:sz w:val="28"/>
          <w:szCs w:val="28"/>
        </w:rPr>
        <w:t>- организация благоустройства территории многоквартирных домов,</w:t>
      </w:r>
      <w:r w:rsidRPr="00A601DE">
        <w:rPr>
          <w:rFonts w:ascii="Times New Roman" w:hAnsi="Times New Roman" w:cs="Times New Roman"/>
          <w:bCs/>
          <w:sz w:val="28"/>
          <w:szCs w:val="28"/>
        </w:rPr>
        <w:t xml:space="preserve"> проезжей части дорог общего пользования местного значения;</w:t>
      </w:r>
    </w:p>
    <w:p w:rsidR="00A601DE" w:rsidRPr="00A601DE" w:rsidRDefault="00A601DE" w:rsidP="00A601DE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01DE">
        <w:rPr>
          <w:rFonts w:ascii="Times New Roman" w:hAnsi="Times New Roman" w:cs="Times New Roman"/>
          <w:spacing w:val="2"/>
          <w:sz w:val="28"/>
          <w:szCs w:val="28"/>
        </w:rPr>
        <w:t>- повышение уровня эксплуатационного состояния улично-дорожной сети;</w:t>
      </w:r>
    </w:p>
    <w:p w:rsidR="00A601DE" w:rsidRPr="00A601DE" w:rsidRDefault="00A601DE" w:rsidP="00A601D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>- улучшение транспортно-эксплуатационного состояния существующей дорожной сети в муниципальном образовании;</w:t>
      </w:r>
    </w:p>
    <w:p w:rsidR="00A601DE" w:rsidRPr="00A601DE" w:rsidRDefault="00A601DE" w:rsidP="00A601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>- ликвидация очагов аварийности и улучшение инженерного благоустройства дорожной сети в муниципальном образовании Петровское сельское поселение;</w:t>
      </w:r>
    </w:p>
    <w:p w:rsidR="00A601DE" w:rsidRPr="00A601DE" w:rsidRDefault="00A601DE" w:rsidP="00A601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>- приоритетное направление социально-экономического и транспортного развития муниципального образования Петровское сельское поселение,</w:t>
      </w:r>
    </w:p>
    <w:p w:rsidR="00A601DE" w:rsidRDefault="00A601DE" w:rsidP="00A601DE">
      <w:pPr>
        <w:spacing w:after="0" w:line="240" w:lineRule="auto"/>
        <w:ind w:firstLine="709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A601DE">
        <w:rPr>
          <w:rFonts w:ascii="Times New Roman" w:hAnsi="Times New Roman" w:cs="Times New Roman"/>
          <w:sz w:val="28"/>
          <w:szCs w:val="28"/>
        </w:rPr>
        <w:t xml:space="preserve"> п</w:t>
      </w:r>
      <w:r w:rsidRPr="00A601DE">
        <w:rPr>
          <w:rStyle w:val="rvts6"/>
          <w:rFonts w:ascii="Times New Roman" w:hAnsi="Times New Roman" w:cs="Times New Roman"/>
          <w:sz w:val="28"/>
          <w:szCs w:val="28"/>
        </w:rPr>
        <w:t>овышение эффективности и безопасности функционирования</w:t>
      </w:r>
      <w:r w:rsidRPr="00A601DE">
        <w:rPr>
          <w:rFonts w:ascii="Times New Roman" w:hAnsi="Times New Roman" w:cs="Times New Roman"/>
          <w:sz w:val="28"/>
          <w:szCs w:val="28"/>
        </w:rPr>
        <w:t xml:space="preserve"> </w:t>
      </w:r>
      <w:r w:rsidRPr="00A601DE">
        <w:rPr>
          <w:rStyle w:val="rvts6"/>
          <w:rFonts w:ascii="Times New Roman" w:hAnsi="Times New Roman" w:cs="Times New Roman"/>
          <w:sz w:val="28"/>
          <w:szCs w:val="28"/>
        </w:rPr>
        <w:t>автомобильных дорог муниципального образования, обеспечение жизненно важных социально-экономических</w:t>
      </w:r>
      <w:r w:rsidRPr="00A601DE">
        <w:rPr>
          <w:rFonts w:ascii="Times New Roman" w:hAnsi="Times New Roman" w:cs="Times New Roman"/>
          <w:sz w:val="28"/>
          <w:szCs w:val="28"/>
        </w:rPr>
        <w:t xml:space="preserve"> </w:t>
      </w:r>
      <w:r w:rsidRPr="00A601DE">
        <w:rPr>
          <w:rStyle w:val="rvts6"/>
          <w:rFonts w:ascii="Times New Roman" w:hAnsi="Times New Roman" w:cs="Times New Roman"/>
          <w:sz w:val="28"/>
          <w:szCs w:val="28"/>
        </w:rPr>
        <w:t>интересов;</w:t>
      </w:r>
    </w:p>
    <w:p w:rsidR="00A601DE" w:rsidRPr="00A601DE" w:rsidRDefault="00A601DE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 xml:space="preserve">-  создание благоприятных условий проживания граждан. </w:t>
      </w:r>
    </w:p>
    <w:p w:rsidR="00A601DE" w:rsidRPr="00A601DE" w:rsidRDefault="00A601DE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являются бюджет муниципального образования Петровское сельское поселение. </w:t>
      </w:r>
    </w:p>
    <w:p w:rsidR="00A601DE" w:rsidRPr="00A601DE" w:rsidRDefault="00A601DE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 xml:space="preserve">Финансирование на 2022 </w:t>
      </w:r>
      <w:r>
        <w:rPr>
          <w:rFonts w:ascii="Times New Roman" w:hAnsi="Times New Roman" w:cs="Times New Roman"/>
          <w:sz w:val="28"/>
          <w:szCs w:val="28"/>
        </w:rPr>
        <w:t>год предусмотрено в размере 7407,7</w:t>
      </w:r>
      <w:r w:rsidRPr="00A601D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601DE" w:rsidRPr="00A601DE" w:rsidRDefault="00A601DE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 xml:space="preserve">Исполнено на 01.01.2023 г. </w:t>
      </w:r>
      <w:r>
        <w:rPr>
          <w:rFonts w:ascii="Times New Roman" w:hAnsi="Times New Roman" w:cs="Times New Roman"/>
          <w:sz w:val="28"/>
          <w:szCs w:val="28"/>
        </w:rPr>
        <w:t>5836,3 тыс. руб., или 78,8</w:t>
      </w:r>
      <w:r w:rsidRPr="00A601DE">
        <w:rPr>
          <w:rFonts w:ascii="Times New Roman" w:hAnsi="Times New Roman" w:cs="Times New Roman"/>
          <w:sz w:val="28"/>
          <w:szCs w:val="28"/>
        </w:rPr>
        <w:t>% от утвержденного плана.</w:t>
      </w:r>
    </w:p>
    <w:p w:rsidR="00A601DE" w:rsidRPr="00A601DE" w:rsidRDefault="00A601DE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601DE" w:rsidRPr="00A601DE" w:rsidRDefault="00A601DE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>Информация выполнения значений целевых показателей Программы за 2022 год отражена в Приложении 1 к настоящему отчету.</w:t>
      </w:r>
    </w:p>
    <w:p w:rsidR="00A601DE" w:rsidRPr="00A601DE" w:rsidRDefault="00A601DE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>Информация выполнение плана реализации муниципальной Программы за 2022 год отражена в Приложении 2 к настоящему отчету.</w:t>
      </w:r>
    </w:p>
    <w:p w:rsidR="00C965DD" w:rsidRDefault="00A601DE" w:rsidP="00A6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E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приведена в Приложении 3.</w:t>
      </w: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DE" w:rsidRDefault="00A601DE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AF6" w:rsidRDefault="00D70AF6" w:rsidP="00D70AF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70AF6" w:rsidSect="002B0DA4">
          <w:footerReference w:type="first" r:id="rId9"/>
          <w:pgSz w:w="11906" w:h="16838"/>
          <w:pgMar w:top="1135" w:right="707" w:bottom="993" w:left="1701" w:header="709" w:footer="709" w:gutter="0"/>
          <w:cols w:space="708"/>
          <w:titlePg/>
          <w:docGrid w:linePitch="360"/>
        </w:sectPr>
      </w:pPr>
    </w:p>
    <w:p w:rsidR="00D70AF6" w:rsidRPr="003850B6" w:rsidRDefault="00D70AF6" w:rsidP="00D70AF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50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0AF6" w:rsidRDefault="00D70AF6" w:rsidP="007418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0AF6" w:rsidRDefault="00D70AF6" w:rsidP="007418E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EA" w:rsidRDefault="00666B78" w:rsidP="007418E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4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9642A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850B6">
        <w:rPr>
          <w:rFonts w:ascii="Times New Roman" w:hAnsi="Times New Roman" w:cs="Times New Roman"/>
          <w:sz w:val="28"/>
          <w:szCs w:val="28"/>
        </w:rPr>
        <w:t>Петровское сельское поселение муниципального образования Приозерский муниципальный рай</w:t>
      </w:r>
      <w:r w:rsidR="00A601DE">
        <w:rPr>
          <w:rFonts w:ascii="Times New Roman" w:hAnsi="Times New Roman" w:cs="Times New Roman"/>
          <w:sz w:val="28"/>
          <w:szCs w:val="28"/>
        </w:rPr>
        <w:t>он Ленинградской области на 2022-2024</w:t>
      </w:r>
      <w:r w:rsidR="003850B6">
        <w:rPr>
          <w:rFonts w:ascii="Times New Roman" w:hAnsi="Times New Roman" w:cs="Times New Roman"/>
          <w:sz w:val="28"/>
          <w:szCs w:val="28"/>
        </w:rPr>
        <w:t xml:space="preserve"> год</w:t>
      </w:r>
      <w:r w:rsidR="00A601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0B6">
        <w:rPr>
          <w:rFonts w:ascii="Times New Roman" w:hAnsi="Times New Roman" w:cs="Times New Roman"/>
          <w:sz w:val="28"/>
          <w:szCs w:val="28"/>
        </w:rPr>
        <w:t xml:space="preserve"> за </w:t>
      </w:r>
      <w:r w:rsidR="00A601DE">
        <w:rPr>
          <w:rFonts w:ascii="Times New Roman" w:hAnsi="Times New Roman" w:cs="Times New Roman"/>
          <w:sz w:val="28"/>
          <w:szCs w:val="28"/>
        </w:rPr>
        <w:t>2022</w:t>
      </w:r>
      <w:r w:rsidR="003850B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0AF6" w:rsidRPr="007418EA" w:rsidRDefault="00D70AF6" w:rsidP="007418E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536"/>
        <w:gridCol w:w="1701"/>
        <w:gridCol w:w="2551"/>
        <w:gridCol w:w="2348"/>
        <w:gridCol w:w="1621"/>
      </w:tblGrid>
      <w:tr w:rsidR="00D70AF6" w:rsidRPr="00241C78" w:rsidTr="0019535A">
        <w:trPr>
          <w:trHeight w:val="4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строки</w:t>
            </w:r>
          </w:p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hAnsi="Times New Roman" w:cs="Times New Roman"/>
                <w:sz w:val="28"/>
                <w:szCs w:val="28"/>
              </w:rPr>
              <w:t>Наименование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</w:tr>
      <w:tr w:rsidR="00D70AF6" w:rsidRPr="00241C78" w:rsidTr="0019535A">
        <w:trPr>
          <w:trHeight w:val="6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</w:t>
            </w:r>
          </w:p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за отчетный период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(%)</w:t>
            </w:r>
          </w:p>
        </w:tc>
      </w:tr>
      <w:tr w:rsidR="00D70AF6" w:rsidRPr="00241C78" w:rsidTr="0019535A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0AF6" w:rsidRPr="00241C78" w:rsidTr="0019535A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28569423"/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15259" w:rsidP="0019535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1C78">
              <w:rPr>
                <w:rFonts w:ascii="Times New Roman" w:hAnsi="Times New Roman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15259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FE77E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15B8F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241C78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106,9</w:t>
            </w:r>
          </w:p>
        </w:tc>
      </w:tr>
      <w:bookmarkEnd w:id="1"/>
      <w:tr w:rsidR="00D70AF6" w:rsidRPr="00241C78" w:rsidTr="00DE4411">
        <w:trPr>
          <w:trHeight w:val="6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15259" w:rsidP="0019535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1C78">
              <w:rPr>
                <w:rFonts w:ascii="Times New Roman" w:hAnsi="Times New Roman"/>
                <w:sz w:val="28"/>
                <w:szCs w:val="28"/>
              </w:rPr>
              <w:t>Капитальный и текущий ремонт автомобильных работ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15259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м.кв</w:t>
            </w:r>
            <w:proofErr w:type="spellEnd"/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FE77E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F6" w:rsidRPr="00DE4411" w:rsidRDefault="00DE4411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E4411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</w:tr>
      <w:tr w:rsidR="00D70AF6" w:rsidRPr="00241C78" w:rsidTr="00DE4411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70AF6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15259" w:rsidP="0019535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41C78">
              <w:rPr>
                <w:rFonts w:ascii="Times New Roman" w:hAnsi="Times New Roman"/>
                <w:sz w:val="28"/>
                <w:szCs w:val="28"/>
              </w:rPr>
              <w:t>Строительство, капитальный ремонт и ремонт парковок, проездов, тротуаров т</w:t>
            </w:r>
            <w:r w:rsidR="00241C78">
              <w:rPr>
                <w:rFonts w:ascii="Times New Roman" w:hAnsi="Times New Roman"/>
                <w:sz w:val="28"/>
                <w:szCs w:val="28"/>
              </w:rPr>
              <w:t>ерриторий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15259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м.кв</w:t>
            </w:r>
            <w:proofErr w:type="spellEnd"/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FE77E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F6" w:rsidRPr="00DE4411" w:rsidRDefault="00DE4411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F6" w:rsidRPr="00241C78" w:rsidRDefault="00DE4411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117,6</w:t>
            </w:r>
          </w:p>
        </w:tc>
      </w:tr>
    </w:tbl>
    <w:p w:rsidR="007418EA" w:rsidRPr="007418EA" w:rsidRDefault="007418EA" w:rsidP="00D70AF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8EA" w:rsidRPr="007418EA" w:rsidRDefault="007418EA" w:rsidP="007418EA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14F" w:rsidRDefault="0038514F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011" w:rsidRDefault="00F52011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52011" w:rsidSect="00D70AF6">
          <w:pgSz w:w="16838" w:h="11906" w:orient="landscape"/>
          <w:pgMar w:top="1701" w:right="1134" w:bottom="709" w:left="992" w:header="709" w:footer="709" w:gutter="0"/>
          <w:cols w:space="708"/>
          <w:docGrid w:linePitch="360"/>
        </w:sectPr>
      </w:pPr>
    </w:p>
    <w:p w:rsidR="00BF0CA8" w:rsidRDefault="00BF0CA8" w:rsidP="00BF0C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F0CA8" w:rsidRDefault="00BF0CA8" w:rsidP="00BF0C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52011" w:rsidRPr="00F52011" w:rsidRDefault="00BF0CA8" w:rsidP="00BF0CA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  <w:r w:rsidRPr="00F52011">
        <w:rPr>
          <w:rFonts w:ascii="Times New Roman" w:hAnsi="Times New Roman" w:cs="Times New Roman"/>
          <w:sz w:val="24"/>
          <w:szCs w:val="24"/>
        </w:rPr>
        <w:t xml:space="preserve"> </w:t>
      </w:r>
      <w:r w:rsidR="00F52011" w:rsidRPr="00F52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011" w:rsidRPr="00F52011" w:rsidRDefault="00F52011" w:rsidP="00BF0CA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38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E038A4">
        <w:rPr>
          <w:rFonts w:ascii="Times New Roman" w:hAnsi="Times New Roman" w:cs="Times New Roman"/>
          <w:sz w:val="24"/>
          <w:szCs w:val="24"/>
        </w:rPr>
        <w:t>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 муниципального образования Приозерский муниципальный рай</w:t>
      </w:r>
      <w:r w:rsidR="00BF0CA8">
        <w:rPr>
          <w:rFonts w:ascii="Times New Roman" w:hAnsi="Times New Roman" w:cs="Times New Roman"/>
          <w:sz w:val="24"/>
          <w:szCs w:val="24"/>
        </w:rPr>
        <w:t>он Ленинградской области на 2022-2024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F0CA8">
        <w:rPr>
          <w:rFonts w:ascii="Times New Roman" w:hAnsi="Times New Roman" w:cs="Times New Roman"/>
          <w:sz w:val="24"/>
          <w:szCs w:val="24"/>
        </w:rPr>
        <w:t>ы» за 2022</w:t>
      </w:r>
      <w:r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              </w:t>
      </w:r>
      <w:r w:rsidR="00BF0C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3295"/>
        <w:gridCol w:w="2228"/>
        <w:gridCol w:w="2004"/>
      </w:tblGrid>
      <w:tr w:rsidR="006C3DFE" w:rsidRPr="007B42D8" w:rsidTr="006C3DFE">
        <w:trPr>
          <w:trHeight w:val="451"/>
        </w:trPr>
        <w:tc>
          <w:tcPr>
            <w:tcW w:w="7643" w:type="dxa"/>
            <w:vMerge w:val="restart"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231" w:type="dxa"/>
            <w:gridSpan w:val="2"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мероприятий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 в ценах соответствующих лет)</w:t>
            </w:r>
          </w:p>
        </w:tc>
      </w:tr>
      <w:tr w:rsidR="006C3DFE" w:rsidRPr="007B42D8" w:rsidTr="006C3DFE">
        <w:trPr>
          <w:trHeight w:val="464"/>
        </w:trPr>
        <w:tc>
          <w:tcPr>
            <w:tcW w:w="7643" w:type="dxa"/>
            <w:vMerge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vMerge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6C3DFE" w:rsidRPr="007B42D8" w:rsidTr="006C3DFE">
        <w:trPr>
          <w:trHeight w:val="273"/>
          <w:tblHeader/>
        </w:trPr>
        <w:tc>
          <w:tcPr>
            <w:tcW w:w="7643" w:type="dxa"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ind w:firstLine="7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6C3DFE" w:rsidRPr="007B42D8" w:rsidRDefault="006C3DFE" w:rsidP="001953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C3DFE" w:rsidRPr="007B42D8" w:rsidTr="006C3DFE">
        <w:trPr>
          <w:trHeight w:val="645"/>
        </w:trPr>
        <w:tc>
          <w:tcPr>
            <w:tcW w:w="7643" w:type="dxa"/>
            <w:vMerge w:val="restart"/>
            <w:shd w:val="clear" w:color="auto" w:fill="auto"/>
            <w:vAlign w:val="center"/>
          </w:tcPr>
          <w:p w:rsidR="006C3DFE" w:rsidRPr="007B42D8" w:rsidRDefault="006C3DFE" w:rsidP="003A2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  <w:r w:rsidRPr="007B42D8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 w:rsidR="006C3DFE" w:rsidRPr="007B42D8" w:rsidRDefault="006C3DFE" w:rsidP="003A2DC8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7407,7</w:t>
            </w:r>
          </w:p>
        </w:tc>
      </w:tr>
      <w:tr w:rsidR="006C3DFE" w:rsidRPr="007B42D8" w:rsidTr="006C3DFE">
        <w:trPr>
          <w:trHeight w:val="268"/>
        </w:trPr>
        <w:tc>
          <w:tcPr>
            <w:tcW w:w="7643" w:type="dxa"/>
            <w:vMerge/>
            <w:shd w:val="clear" w:color="auto" w:fill="auto"/>
            <w:vAlign w:val="center"/>
          </w:tcPr>
          <w:p w:rsidR="006C3DFE" w:rsidRPr="007B42D8" w:rsidRDefault="006C3DFE" w:rsidP="003A2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vMerge/>
            <w:shd w:val="clear" w:color="auto" w:fill="auto"/>
            <w:vAlign w:val="center"/>
          </w:tcPr>
          <w:p w:rsidR="006C3DFE" w:rsidRPr="007B42D8" w:rsidRDefault="006C3DFE" w:rsidP="003A2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5836,3</w:t>
            </w:r>
          </w:p>
        </w:tc>
      </w:tr>
      <w:tr w:rsidR="007B42D8" w:rsidRPr="007B42D8" w:rsidTr="006C3DFE">
        <w:trPr>
          <w:trHeight w:val="142"/>
        </w:trPr>
        <w:tc>
          <w:tcPr>
            <w:tcW w:w="15170" w:type="dxa"/>
            <w:gridSpan w:val="4"/>
            <w:shd w:val="clear" w:color="auto" w:fill="auto"/>
            <w:vAlign w:val="center"/>
          </w:tcPr>
          <w:p w:rsidR="007B42D8" w:rsidRPr="007B42D8" w:rsidRDefault="007B42D8" w:rsidP="001953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7B42D8" w:rsidRPr="007B42D8" w:rsidTr="006C3DFE">
        <w:trPr>
          <w:trHeight w:val="211"/>
        </w:trPr>
        <w:tc>
          <w:tcPr>
            <w:tcW w:w="15170" w:type="dxa"/>
            <w:gridSpan w:val="4"/>
            <w:shd w:val="clear" w:color="auto" w:fill="auto"/>
            <w:vAlign w:val="center"/>
          </w:tcPr>
          <w:p w:rsidR="007B42D8" w:rsidRPr="007B42D8" w:rsidRDefault="007B42D8" w:rsidP="001953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предусмотрена</w:t>
            </w:r>
          </w:p>
        </w:tc>
      </w:tr>
      <w:tr w:rsidR="007B42D8" w:rsidRPr="007B42D8" w:rsidTr="006C3DFE">
        <w:trPr>
          <w:trHeight w:val="63"/>
        </w:trPr>
        <w:tc>
          <w:tcPr>
            <w:tcW w:w="15170" w:type="dxa"/>
            <w:gridSpan w:val="4"/>
            <w:shd w:val="clear" w:color="auto" w:fill="auto"/>
            <w:vAlign w:val="center"/>
            <w:hideMark/>
          </w:tcPr>
          <w:p w:rsidR="007B42D8" w:rsidRPr="007B42D8" w:rsidRDefault="007B42D8" w:rsidP="001953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6C3DFE" w:rsidRPr="007B42D8" w:rsidTr="006C3DFE">
        <w:trPr>
          <w:trHeight w:val="292"/>
        </w:trPr>
        <w:tc>
          <w:tcPr>
            <w:tcW w:w="7643" w:type="dxa"/>
            <w:vMerge w:val="restart"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 w:rsidR="006C3DFE" w:rsidRPr="007B42D8" w:rsidRDefault="006C3DFE" w:rsidP="003A2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2043,8</w:t>
            </w:r>
          </w:p>
        </w:tc>
      </w:tr>
      <w:tr w:rsidR="006C3DFE" w:rsidRPr="007B42D8" w:rsidTr="006C3DFE">
        <w:trPr>
          <w:trHeight w:val="414"/>
        </w:trPr>
        <w:tc>
          <w:tcPr>
            <w:tcW w:w="7643" w:type="dxa"/>
            <w:vMerge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vMerge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1507,5</w:t>
            </w:r>
          </w:p>
        </w:tc>
      </w:tr>
      <w:tr w:rsidR="006C3DFE" w:rsidRPr="007B42D8" w:rsidTr="006C3DFE">
        <w:trPr>
          <w:trHeight w:val="382"/>
        </w:trPr>
        <w:tc>
          <w:tcPr>
            <w:tcW w:w="7643" w:type="dxa"/>
            <w:vMerge w:val="restart"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4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 w:rsidR="006C3DFE" w:rsidRPr="007B42D8" w:rsidRDefault="006C3DFE" w:rsidP="003A2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5363,9</w:t>
            </w:r>
          </w:p>
        </w:tc>
      </w:tr>
      <w:tr w:rsidR="006C3DFE" w:rsidRPr="007B42D8" w:rsidTr="006C3DFE">
        <w:trPr>
          <w:trHeight w:val="257"/>
        </w:trPr>
        <w:tc>
          <w:tcPr>
            <w:tcW w:w="7643" w:type="dxa"/>
            <w:vMerge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vMerge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C3DFE" w:rsidRPr="007B42D8" w:rsidRDefault="006C3DFE" w:rsidP="003A2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4328,8</w:t>
            </w:r>
          </w:p>
        </w:tc>
      </w:tr>
    </w:tbl>
    <w:p w:rsidR="00D6018F" w:rsidRPr="00476E74" w:rsidRDefault="00D6018F" w:rsidP="00476E74">
      <w:pPr>
        <w:rPr>
          <w:rFonts w:ascii="Times New Roman" w:hAnsi="Times New Roman" w:cs="Times New Roman"/>
          <w:sz w:val="20"/>
          <w:szCs w:val="20"/>
        </w:rPr>
      </w:pPr>
    </w:p>
    <w:p w:rsidR="00D6018F" w:rsidRDefault="00D6018F" w:rsidP="00D6018F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  <w:sectPr w:rsidR="00D6018F" w:rsidSect="00D70AF6">
          <w:pgSz w:w="16838" w:h="11906" w:orient="landscape"/>
          <w:pgMar w:top="1701" w:right="1134" w:bottom="709" w:left="992" w:header="709" w:footer="709" w:gutter="0"/>
          <w:cols w:space="708"/>
          <w:docGrid w:linePitch="360"/>
        </w:sectPr>
      </w:pPr>
    </w:p>
    <w:p w:rsidR="00D15259" w:rsidRDefault="00D15259" w:rsidP="00D15259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15259" w:rsidRDefault="00D15259" w:rsidP="00D15259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59" w:rsidRPr="00400483" w:rsidRDefault="00D15259" w:rsidP="00D152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муниципальной программы «</w:t>
      </w:r>
      <w:r w:rsidRPr="00400483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муниципальном образовании Петровское сельское поселение муниципального образования Приозерский муниципальной район Ленинградской области на 2022-2024 год» за 2022 год</w:t>
      </w:r>
    </w:p>
    <w:p w:rsidR="00D15259" w:rsidRDefault="00D15259" w:rsidP="00D152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путем сопоставления фактически достигнутых </w:t>
      </w:r>
      <w:r w:rsidR="006222EB">
        <w:rPr>
          <w:rFonts w:ascii="Times New Roman" w:hAnsi="Times New Roman" w:cs="Times New Roman"/>
          <w:sz w:val="28"/>
          <w:szCs w:val="28"/>
        </w:rPr>
        <w:t>значений показателей с плановым</w:t>
      </w:r>
      <w:r w:rsidRPr="00E50243">
        <w:rPr>
          <w:rFonts w:ascii="Times New Roman" w:hAnsi="Times New Roman" w:cs="Times New Roman"/>
          <w:sz w:val="28"/>
          <w:szCs w:val="28"/>
        </w:rPr>
        <w:t>и значениями.</w:t>
      </w:r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1.</w:t>
      </w:r>
      <w:r w:rsidRPr="00E502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0DA4" w:rsidRPr="002B0DA4">
        <w:rPr>
          <w:rFonts w:ascii="Times New Roman" w:hAnsi="Times New Roman"/>
          <w:sz w:val="28"/>
          <w:szCs w:val="24"/>
          <w:u w:val="single"/>
        </w:rPr>
        <w:t>Содержание автомобильных дорог</w:t>
      </w:r>
      <w:r w:rsidRPr="00E5024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33,46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31,3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</m:t>
          </m:r>
        </m:oMath>
      </m:oMathPara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2.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DA4" w:rsidRPr="002B0DA4">
        <w:rPr>
          <w:rFonts w:ascii="Times New Roman" w:hAnsi="Times New Roman"/>
          <w:sz w:val="28"/>
          <w:szCs w:val="24"/>
          <w:u w:val="single"/>
        </w:rPr>
        <w:t>Капитальный и текущий ремонт автомобильных работ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=0,22</m:t>
          </m:r>
        </m:oMath>
      </m:oMathPara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3.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DA4" w:rsidRPr="002B0DA4">
        <w:rPr>
          <w:rFonts w:ascii="Times New Roman" w:hAnsi="Times New Roman"/>
          <w:sz w:val="28"/>
          <w:u w:val="single"/>
        </w:rPr>
        <w:t>Строительство, капитальный ремонт и ремонт парковок, проездов, тротуаров территорий многоквартирных домов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887,91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=1,78</m:t>
          </m:r>
        </m:oMath>
      </m:oMathPara>
    </w:p>
    <w:p w:rsidR="00D15259" w:rsidRPr="00E50243" w:rsidRDefault="00D15259" w:rsidP="00D1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59" w:rsidRPr="00E50243" w:rsidRDefault="00D15259" w:rsidP="00D15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D15259" w:rsidRPr="00E50243" w:rsidRDefault="00D15259" w:rsidP="00D1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1,1+0,22+1,78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</m:t>
          </m:r>
          <m:r>
            <w:rPr>
              <w:rFonts w:ascii="Cambria Math" w:hAnsi="Cambria Math" w:cs="Times New Roman"/>
              <w:sz w:val="28"/>
              <w:szCs w:val="28"/>
            </w:rPr>
            <m:t>100=103,3</m:t>
          </m:r>
        </m:oMath>
      </m:oMathPara>
    </w:p>
    <w:p w:rsidR="00D15259" w:rsidRPr="00E50243" w:rsidRDefault="00D15259" w:rsidP="00D1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59" w:rsidRPr="00E50243" w:rsidRDefault="00D15259" w:rsidP="00D1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15259" w:rsidRPr="00E50243" w:rsidRDefault="00D15259" w:rsidP="00D1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59" w:rsidRPr="00E50243" w:rsidRDefault="00D15259" w:rsidP="00D1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103,3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78,8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100</m:t>
          </m:r>
          <m:r>
            <w:rPr>
              <w:rFonts w:ascii="Cambria Math" w:hAnsi="Cambria Math" w:cs="Times New Roman"/>
              <w:sz w:val="28"/>
              <w:szCs w:val="28"/>
            </w:rPr>
            <m:t>=131,1%.</m:t>
          </m:r>
        </m:oMath>
      </m:oMathPara>
    </w:p>
    <w:p w:rsidR="00D06209" w:rsidRDefault="00D06209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466" w:rsidRPr="00DE4411" w:rsidRDefault="00E342F5" w:rsidP="00DE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110% - эффективность реализации программы более высокая по сравнению с запланированной.</w:t>
      </w:r>
    </w:p>
    <w:sectPr w:rsidR="00F33466" w:rsidRPr="00DE4411" w:rsidSect="00D15259">
      <w:foot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70" w:rsidRDefault="00D15B8F">
      <w:pPr>
        <w:spacing w:after="0" w:line="240" w:lineRule="auto"/>
      </w:pPr>
      <w:r>
        <w:separator/>
      </w:r>
    </w:p>
  </w:endnote>
  <w:endnote w:type="continuationSeparator" w:id="0">
    <w:p w:rsidR="003F1A70" w:rsidRDefault="00D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A4" w:rsidRPr="002B0DA4" w:rsidRDefault="002B0DA4" w:rsidP="002B0DA4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</w:pPr>
    <w:r w:rsidRPr="002B0DA4"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  <w:t>М.А. Гредюшко</w:t>
    </w:r>
  </w:p>
  <w:p w:rsidR="002B0DA4" w:rsidRPr="002B0DA4" w:rsidRDefault="002B0DA4" w:rsidP="002B0DA4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</w:pPr>
    <w:r w:rsidRPr="002B0DA4"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  <w:t>тел.8 (813-79) 66-217</w:t>
    </w:r>
  </w:p>
  <w:p w:rsidR="002B0DA4" w:rsidRPr="002B0DA4" w:rsidRDefault="002B0DA4" w:rsidP="002B0DA4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4"/>
        <w:lang w:eastAsia="ru-RU"/>
      </w:rPr>
    </w:pPr>
    <w:r w:rsidRPr="002B0DA4">
      <w:rPr>
        <w:rFonts w:ascii="Times New Roman" w:eastAsia="Times New Roman" w:hAnsi="Times New Roman" w:cs="Times New Roman"/>
        <w:sz w:val="18"/>
        <w:szCs w:val="24"/>
        <w:lang w:eastAsia="ru-RU"/>
      </w:rPr>
      <w:t>Разослано: 2-дело, 1-КСО, 1-СМИ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8D" w:rsidRPr="004C0C8D" w:rsidRDefault="00FE77E5" w:rsidP="004C0C8D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М.А. Гредюшко</w:t>
    </w:r>
  </w:p>
  <w:p w:rsidR="004C0C8D" w:rsidRPr="004C0C8D" w:rsidRDefault="00FE77E5" w:rsidP="004C0C8D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4C0C8D" w:rsidRPr="004C0C8D" w:rsidRDefault="00FE77E5" w:rsidP="004C0C8D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4C0C8D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70" w:rsidRDefault="00D15B8F">
      <w:pPr>
        <w:spacing w:after="0" w:line="240" w:lineRule="auto"/>
      </w:pPr>
      <w:r>
        <w:separator/>
      </w:r>
    </w:p>
  </w:footnote>
  <w:footnote w:type="continuationSeparator" w:id="0">
    <w:p w:rsidR="003F1A70" w:rsidRDefault="00D1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BC"/>
    <w:rsid w:val="00002953"/>
    <w:rsid w:val="00026775"/>
    <w:rsid w:val="000659CF"/>
    <w:rsid w:val="00084F9D"/>
    <w:rsid w:val="00095D27"/>
    <w:rsid w:val="000A27B3"/>
    <w:rsid w:val="000A614C"/>
    <w:rsid w:val="000B0C67"/>
    <w:rsid w:val="000B6DB9"/>
    <w:rsid w:val="000C0906"/>
    <w:rsid w:val="000C6596"/>
    <w:rsid w:val="000E7D5F"/>
    <w:rsid w:val="000F2A18"/>
    <w:rsid w:val="00143E2C"/>
    <w:rsid w:val="00145CC2"/>
    <w:rsid w:val="00182A0B"/>
    <w:rsid w:val="001B26B9"/>
    <w:rsid w:val="001B5B69"/>
    <w:rsid w:val="00200A07"/>
    <w:rsid w:val="00212D24"/>
    <w:rsid w:val="00237C3A"/>
    <w:rsid w:val="00241C78"/>
    <w:rsid w:val="002921A6"/>
    <w:rsid w:val="0029597C"/>
    <w:rsid w:val="002A4D6F"/>
    <w:rsid w:val="002B0DA4"/>
    <w:rsid w:val="002C0E38"/>
    <w:rsid w:val="003137F4"/>
    <w:rsid w:val="003278E0"/>
    <w:rsid w:val="003302CF"/>
    <w:rsid w:val="0033105C"/>
    <w:rsid w:val="003348D7"/>
    <w:rsid w:val="00346C8E"/>
    <w:rsid w:val="0035609B"/>
    <w:rsid w:val="0036264E"/>
    <w:rsid w:val="003668DB"/>
    <w:rsid w:val="003850B6"/>
    <w:rsid w:val="0038514F"/>
    <w:rsid w:val="003A2DC8"/>
    <w:rsid w:val="003C3AD7"/>
    <w:rsid w:val="003D30EA"/>
    <w:rsid w:val="003F1A70"/>
    <w:rsid w:val="00411C99"/>
    <w:rsid w:val="00451A72"/>
    <w:rsid w:val="00456733"/>
    <w:rsid w:val="00457612"/>
    <w:rsid w:val="00464EAF"/>
    <w:rsid w:val="00472A8C"/>
    <w:rsid w:val="00475C79"/>
    <w:rsid w:val="00476E74"/>
    <w:rsid w:val="00481741"/>
    <w:rsid w:val="00482266"/>
    <w:rsid w:val="004852E7"/>
    <w:rsid w:val="004862B2"/>
    <w:rsid w:val="00495828"/>
    <w:rsid w:val="004B24DA"/>
    <w:rsid w:val="004B7EE6"/>
    <w:rsid w:val="004C2F91"/>
    <w:rsid w:val="004C511B"/>
    <w:rsid w:val="00504B5B"/>
    <w:rsid w:val="005162C5"/>
    <w:rsid w:val="005401FD"/>
    <w:rsid w:val="00550801"/>
    <w:rsid w:val="005558F4"/>
    <w:rsid w:val="00573180"/>
    <w:rsid w:val="0058042A"/>
    <w:rsid w:val="00591B1F"/>
    <w:rsid w:val="006222EB"/>
    <w:rsid w:val="00631858"/>
    <w:rsid w:val="00637DFC"/>
    <w:rsid w:val="00646162"/>
    <w:rsid w:val="00666B78"/>
    <w:rsid w:val="006670BE"/>
    <w:rsid w:val="00670E66"/>
    <w:rsid w:val="006A40A7"/>
    <w:rsid w:val="006C3DFE"/>
    <w:rsid w:val="006D530F"/>
    <w:rsid w:val="006E1F43"/>
    <w:rsid w:val="007418EA"/>
    <w:rsid w:val="00764732"/>
    <w:rsid w:val="0079541C"/>
    <w:rsid w:val="007A039A"/>
    <w:rsid w:val="007A371F"/>
    <w:rsid w:val="007B0F8E"/>
    <w:rsid w:val="007B42D8"/>
    <w:rsid w:val="007E1E64"/>
    <w:rsid w:val="007F4BDF"/>
    <w:rsid w:val="008407DC"/>
    <w:rsid w:val="00856B62"/>
    <w:rsid w:val="00874482"/>
    <w:rsid w:val="008920DA"/>
    <w:rsid w:val="008D3548"/>
    <w:rsid w:val="008D74AB"/>
    <w:rsid w:val="00906024"/>
    <w:rsid w:val="00914698"/>
    <w:rsid w:val="00921524"/>
    <w:rsid w:val="0094129F"/>
    <w:rsid w:val="009859D4"/>
    <w:rsid w:val="009A5F4C"/>
    <w:rsid w:val="009B6A75"/>
    <w:rsid w:val="009B6EE4"/>
    <w:rsid w:val="009D13A0"/>
    <w:rsid w:val="009F1035"/>
    <w:rsid w:val="00A53137"/>
    <w:rsid w:val="00A601DE"/>
    <w:rsid w:val="00A7152F"/>
    <w:rsid w:val="00A975A5"/>
    <w:rsid w:val="00AB66E7"/>
    <w:rsid w:val="00AD11AD"/>
    <w:rsid w:val="00B5631B"/>
    <w:rsid w:val="00B57991"/>
    <w:rsid w:val="00B752F9"/>
    <w:rsid w:val="00B9642A"/>
    <w:rsid w:val="00BB59D0"/>
    <w:rsid w:val="00BF0CA8"/>
    <w:rsid w:val="00C436BC"/>
    <w:rsid w:val="00C965DD"/>
    <w:rsid w:val="00CB27AB"/>
    <w:rsid w:val="00CC04A2"/>
    <w:rsid w:val="00CC2276"/>
    <w:rsid w:val="00CC4A76"/>
    <w:rsid w:val="00D06209"/>
    <w:rsid w:val="00D15259"/>
    <w:rsid w:val="00D15B8F"/>
    <w:rsid w:val="00D21700"/>
    <w:rsid w:val="00D25886"/>
    <w:rsid w:val="00D32E46"/>
    <w:rsid w:val="00D3612D"/>
    <w:rsid w:val="00D6018F"/>
    <w:rsid w:val="00D70AF6"/>
    <w:rsid w:val="00DA2006"/>
    <w:rsid w:val="00DB69A4"/>
    <w:rsid w:val="00DE4411"/>
    <w:rsid w:val="00E038A4"/>
    <w:rsid w:val="00E05C4E"/>
    <w:rsid w:val="00E342F5"/>
    <w:rsid w:val="00E540B0"/>
    <w:rsid w:val="00E7395F"/>
    <w:rsid w:val="00E948B8"/>
    <w:rsid w:val="00EB7B25"/>
    <w:rsid w:val="00EF0145"/>
    <w:rsid w:val="00F03791"/>
    <w:rsid w:val="00F05718"/>
    <w:rsid w:val="00F33466"/>
    <w:rsid w:val="00F3660C"/>
    <w:rsid w:val="00F52011"/>
    <w:rsid w:val="00F60C03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F07B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466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A601D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A601DE"/>
  </w:style>
  <w:style w:type="character" w:customStyle="1" w:styleId="ab">
    <w:name w:val="Без интервала Знак"/>
    <w:link w:val="ac"/>
    <w:locked/>
    <w:rsid w:val="00D70AF6"/>
    <w:rPr>
      <w:rFonts w:eastAsia="Times New Roman"/>
      <w:lang w:eastAsia="ru-RU"/>
    </w:rPr>
  </w:style>
  <w:style w:type="paragraph" w:styleId="ac">
    <w:name w:val="No Spacing"/>
    <w:link w:val="ab"/>
    <w:uiPriority w:val="1"/>
    <w:qFormat/>
    <w:rsid w:val="00D70AF6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70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B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0DA4"/>
  </w:style>
  <w:style w:type="paragraph" w:styleId="af">
    <w:name w:val="footer"/>
    <w:basedOn w:val="a"/>
    <w:link w:val="af0"/>
    <w:uiPriority w:val="99"/>
    <w:unhideWhenUsed/>
    <w:rsid w:val="002B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0A50-27AE-4D69-BDE6-BBFC8FA3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19</cp:revision>
  <cp:lastPrinted>2020-06-23T12:05:00Z</cp:lastPrinted>
  <dcterms:created xsi:type="dcterms:W3CDTF">2022-11-14T07:44:00Z</dcterms:created>
  <dcterms:modified xsi:type="dcterms:W3CDTF">2023-04-05T13:00:00Z</dcterms:modified>
</cp:coreProperties>
</file>