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5" w:rsidRDefault="002A3035" w:rsidP="002A3035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85208B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12C22" w:rsidRDefault="00F5552A" w:rsidP="002A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C783F">
        <w:rPr>
          <w:b/>
          <w:sz w:val="28"/>
          <w:szCs w:val="28"/>
        </w:rPr>
        <w:t xml:space="preserve"> год </w:t>
      </w:r>
    </w:p>
    <w:p w:rsidR="00D12C22" w:rsidRPr="001C3B12" w:rsidRDefault="00D12C22" w:rsidP="002A3035">
      <w:pPr>
        <w:jc w:val="center"/>
        <w:rPr>
          <w:b/>
          <w:sz w:val="28"/>
          <w:szCs w:val="28"/>
        </w:rPr>
      </w:pPr>
    </w:p>
    <w:p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:rsidTr="000B47D6">
        <w:trPr>
          <w:trHeight w:val="491"/>
        </w:trPr>
        <w:tc>
          <w:tcPr>
            <w:tcW w:w="3274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:rsidTr="000B47D6">
        <w:trPr>
          <w:trHeight w:val="189"/>
          <w:tblHeader/>
        </w:trPr>
        <w:tc>
          <w:tcPr>
            <w:tcW w:w="3274" w:type="pct"/>
            <w:gridSpan w:val="2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:rsidTr="000B47D6">
        <w:trPr>
          <w:trHeight w:val="203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:rsidTr="000B47D6">
        <w:trPr>
          <w:trHeight w:val="592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:rsidTr="000B47D6">
        <w:trPr>
          <w:trHeight w:val="98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Мельниковское сельское поселение от </w:t>
            </w:r>
            <w:r w:rsidR="0085208B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85208B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F5552A">
              <w:rPr>
                <w:sz w:val="22"/>
                <w:szCs w:val="22"/>
              </w:rPr>
              <w:t>»,</w:t>
            </w:r>
            <w:r w:rsidR="008C783F">
              <w:rPr>
                <w:sz w:val="22"/>
                <w:szCs w:val="22"/>
              </w:rPr>
              <w:t xml:space="preserve"> п.3</w:t>
            </w:r>
          </w:p>
        </w:tc>
      </w:tr>
      <w:tr w:rsidR="002A3035" w:rsidRPr="00CC6AE4" w:rsidTr="000B47D6">
        <w:trPr>
          <w:trHeight w:val="19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2A3035" w:rsidRPr="00CC6AE4" w:rsidRDefault="00986F53" w:rsidP="0085208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администрации </w:t>
            </w:r>
            <w:r w:rsidR="003C4B67" w:rsidRPr="003C4B67">
              <w:rPr>
                <w:sz w:val="22"/>
                <w:szCs w:val="22"/>
              </w:rPr>
              <w:t xml:space="preserve">муниципального образования </w:t>
            </w:r>
            <w:r w:rsidR="0085208B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:rsidTr="000B47D6">
        <w:trPr>
          <w:trHeight w:val="7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85208B" w:rsidRDefault="0085208B" w:rsidP="000B47D6">
            <w:pPr>
              <w:spacing w:line="240" w:lineRule="exact"/>
            </w:pPr>
            <w:r>
              <w:t>Учреждения образования здравоохранения, культуры, спорта</w:t>
            </w:r>
          </w:p>
          <w:p w:rsidR="003C4B67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C4B67">
              <w:rPr>
                <w:sz w:val="22"/>
                <w:szCs w:val="22"/>
              </w:rPr>
              <w:t>рганы местного самоуправ</w:t>
            </w:r>
            <w:r w:rsidR="0085208B">
              <w:rPr>
                <w:sz w:val="22"/>
                <w:szCs w:val="22"/>
              </w:rPr>
              <w:t>ления, в том числе администрация</w:t>
            </w:r>
            <w:r w:rsidRPr="003C4B67">
              <w:rPr>
                <w:sz w:val="22"/>
                <w:szCs w:val="22"/>
              </w:rPr>
              <w:t xml:space="preserve"> муници</w:t>
            </w:r>
            <w:r w:rsidR="0085208B">
              <w:rPr>
                <w:sz w:val="22"/>
                <w:szCs w:val="22"/>
              </w:rPr>
              <w:t>пального образования, обладающая</w:t>
            </w:r>
            <w:r w:rsidRPr="003C4B67">
              <w:rPr>
                <w:sz w:val="22"/>
                <w:szCs w:val="22"/>
              </w:rPr>
              <w:t xml:space="preserve"> правом юридического лица</w:t>
            </w:r>
          </w:p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83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2A3035" w:rsidRPr="00CC6AE4" w:rsidTr="000B47D6">
        <w:trPr>
          <w:trHeight w:val="84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>Техническая (финансовая)</w:t>
            </w:r>
          </w:p>
        </w:tc>
      </w:tr>
      <w:tr w:rsidR="002A3035" w:rsidRPr="00CC6AE4" w:rsidTr="000B47D6">
        <w:trPr>
          <w:trHeight w:val="16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бюджетной устойчивости, эффективности бюджетных расходов</w:t>
            </w:r>
          </w:p>
          <w:p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30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45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Недопущение роста расходной части бюджета </w:t>
            </w:r>
          </w:p>
        </w:tc>
      </w:tr>
      <w:tr w:rsidR="002A3035" w:rsidRPr="00CC6AE4" w:rsidTr="000B47D6">
        <w:trPr>
          <w:trHeight w:val="134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84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287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:rsidTr="000B47D6">
        <w:trPr>
          <w:trHeight w:val="107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A67FC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1026,4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88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A67FC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1026,4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85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2021 год – </w:t>
            </w:r>
            <w:r w:rsidR="00A67FC7">
              <w:rPr>
                <w:sz w:val="22"/>
                <w:szCs w:val="22"/>
              </w:rPr>
              <w:t>1026,4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2022 год – </w:t>
            </w:r>
            <w:r w:rsidR="00A67FC7">
              <w:rPr>
                <w:sz w:val="22"/>
                <w:szCs w:val="22"/>
              </w:rPr>
              <w:t>1026,4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:rsidR="002A3035" w:rsidRPr="00CC6AE4" w:rsidRDefault="00F5552A" w:rsidP="00A67FC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-  </w:t>
            </w:r>
            <w:r w:rsidR="00A67FC7">
              <w:rPr>
                <w:sz w:val="22"/>
                <w:szCs w:val="22"/>
              </w:rPr>
              <w:t>1026,4</w:t>
            </w:r>
            <w:bookmarkStart w:id="0" w:name="_GoBack"/>
            <w:bookmarkEnd w:id="0"/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56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</w:t>
            </w:r>
            <w:r w:rsidR="006F659B">
              <w:rPr>
                <w:sz w:val="22"/>
                <w:szCs w:val="22"/>
              </w:rPr>
              <w:t>в, сборов в отчетном финансовом</w:t>
            </w:r>
            <w:r w:rsidRPr="00CC6AE4">
              <w:rPr>
                <w:sz w:val="22"/>
                <w:szCs w:val="22"/>
              </w:rPr>
              <w:t xml:space="preserve"> году (единиц)</w:t>
            </w:r>
          </w:p>
        </w:tc>
        <w:tc>
          <w:tcPr>
            <w:tcW w:w="1726" w:type="pct"/>
          </w:tcPr>
          <w:p w:rsidR="002A3035" w:rsidRPr="00CC6AE4" w:rsidRDefault="00A67FC7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A3035" w:rsidRPr="00CC6AE4" w:rsidTr="000B47D6">
        <w:trPr>
          <w:trHeight w:val="102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2A3035" w:rsidRPr="00CC6AE4" w:rsidRDefault="00A67FC7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035" w:rsidRPr="00CC6AE4" w:rsidTr="000B47D6">
        <w:trPr>
          <w:trHeight w:val="58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6"/>
    <w:rsid w:val="0000755A"/>
    <w:rsid w:val="000F214A"/>
    <w:rsid w:val="00283E7E"/>
    <w:rsid w:val="002A3035"/>
    <w:rsid w:val="003C4B67"/>
    <w:rsid w:val="006F659B"/>
    <w:rsid w:val="00747436"/>
    <w:rsid w:val="0085208B"/>
    <w:rsid w:val="008B271D"/>
    <w:rsid w:val="008C783F"/>
    <w:rsid w:val="008E3F86"/>
    <w:rsid w:val="00986F53"/>
    <w:rsid w:val="009B4040"/>
    <w:rsid w:val="00A67FC7"/>
    <w:rsid w:val="00BB66A4"/>
    <w:rsid w:val="00D12C22"/>
    <w:rsid w:val="00D84775"/>
    <w:rsid w:val="00F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20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2022-03-15T09:41:00Z</cp:lastPrinted>
  <dcterms:created xsi:type="dcterms:W3CDTF">2022-03-15T07:41:00Z</dcterms:created>
  <dcterms:modified xsi:type="dcterms:W3CDTF">2022-03-15T14:27:00Z</dcterms:modified>
</cp:coreProperties>
</file>